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C57801" w:rsidP="00061C26">
            <w:pPr>
              <w:rPr>
                <w:rFonts w:ascii="HelveticaNeueLT Std" w:hAnsi="HelveticaNeueLT Std"/>
                <w:sz w:val="22"/>
                <w:szCs w:val="22"/>
              </w:rPr>
            </w:pPr>
            <w:r>
              <w:rPr>
                <w:rFonts w:ascii="HelveticaNeueLT Std" w:hAnsi="HelveticaNeueLT Std"/>
                <w:sz w:val="22"/>
                <w:szCs w:val="22"/>
              </w:rPr>
              <w:t>Public Health Strategist and Improvement Lead</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C57801" w:rsidP="00C57801">
            <w:pPr>
              <w:rPr>
                <w:rFonts w:ascii="HelveticaNeueLT Std" w:hAnsi="HelveticaNeueLT Std"/>
                <w:color w:val="000000" w:themeColor="text1"/>
                <w:sz w:val="22"/>
                <w:szCs w:val="22"/>
              </w:rPr>
            </w:pPr>
            <w:r>
              <w:rPr>
                <w:rFonts w:ascii="HelveticaNeueLT Std" w:hAnsi="HelveticaNeueLT Std"/>
                <w:color w:val="000000" w:themeColor="text1"/>
                <w:sz w:val="22"/>
                <w:szCs w:val="22"/>
              </w:rPr>
              <w:t>Chief Executive, Public Health, ADPH London</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C57801" w:rsidP="00AF528D">
            <w:pPr>
              <w:rPr>
                <w:rFonts w:ascii="HelveticaNeueLT Std" w:hAnsi="HelveticaNeueLT Std"/>
                <w:sz w:val="22"/>
                <w:szCs w:val="22"/>
              </w:rPr>
            </w:pPr>
            <w:r>
              <w:rPr>
                <w:rFonts w:ascii="HelveticaNeueLT Std" w:hAnsi="HelveticaNeueLT Std"/>
                <w:sz w:val="22"/>
                <w:szCs w:val="22"/>
              </w:rPr>
              <w:t>Programme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C57801" w:rsidP="00AF528D">
            <w:pPr>
              <w:rPr>
                <w:rFonts w:ascii="HelveticaNeueLT Std" w:hAnsi="HelveticaNeueLT Std"/>
                <w:sz w:val="22"/>
                <w:szCs w:val="22"/>
              </w:rPr>
            </w:pPr>
            <w:r>
              <w:rPr>
                <w:rFonts w:ascii="HelveticaNeueLT Std" w:hAnsi="HelveticaNeueLT Std"/>
                <w:sz w:val="22"/>
                <w:szCs w:val="22"/>
              </w:rPr>
              <w:t>PO6</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C57801" w:rsidRPr="00C57801" w:rsidRDefault="00C57801" w:rsidP="00C57801">
            <w:pPr>
              <w:pStyle w:val="Style1"/>
              <w:numPr>
                <w:ilvl w:val="0"/>
                <w:numId w:val="13"/>
              </w:numPr>
              <w:spacing w:before="120" w:after="120"/>
              <w:rPr>
                <w:rFonts w:ascii="HelveticaNeueLT Std" w:hAnsi="HelveticaNeueLT Std" w:cs="Arial"/>
                <w:sz w:val="22"/>
                <w:szCs w:val="22"/>
              </w:rPr>
            </w:pPr>
            <w:r w:rsidRPr="00C57801">
              <w:rPr>
                <w:rFonts w:ascii="HelveticaNeueLT Std" w:hAnsi="HelveticaNeueLT Std" w:cs="Arial"/>
                <w:sz w:val="22"/>
                <w:szCs w:val="22"/>
              </w:rPr>
              <w:t>To support the development and delivery of collaborative public health projects between London boroughs, utilising professional public health skills and knowledge</w:t>
            </w:r>
          </w:p>
          <w:p w:rsidR="00C57801" w:rsidRPr="00C57801" w:rsidRDefault="00C57801" w:rsidP="00C57801">
            <w:pPr>
              <w:pStyle w:val="Style1"/>
              <w:numPr>
                <w:ilvl w:val="0"/>
                <w:numId w:val="13"/>
              </w:numPr>
              <w:spacing w:before="120" w:after="120"/>
              <w:rPr>
                <w:rFonts w:ascii="HelveticaNeueLT Std" w:hAnsi="HelveticaNeueLT Std" w:cs="Arial"/>
                <w:sz w:val="22"/>
                <w:szCs w:val="22"/>
              </w:rPr>
            </w:pPr>
            <w:r w:rsidRPr="00C57801">
              <w:rPr>
                <w:rFonts w:ascii="HelveticaNeueLT Std" w:hAnsi="HelveticaNeueLT Std" w:cs="Arial"/>
                <w:sz w:val="22"/>
                <w:szCs w:val="22"/>
              </w:rPr>
              <w:t>To support, challenge and shape the collaborative improvement agenda for London DsPH, drawing on learning from public health and wider local government improvement agenda, locally, regionally and nationally</w:t>
            </w:r>
          </w:p>
          <w:p w:rsidR="00C57801" w:rsidRPr="00C57801" w:rsidRDefault="00C57801" w:rsidP="00C57801">
            <w:pPr>
              <w:pStyle w:val="Style1"/>
              <w:numPr>
                <w:ilvl w:val="0"/>
                <w:numId w:val="13"/>
              </w:numPr>
              <w:spacing w:before="120" w:after="120"/>
              <w:rPr>
                <w:rFonts w:ascii="HelveticaNeueLT Std" w:hAnsi="HelveticaNeueLT Std" w:cs="Arial"/>
                <w:sz w:val="22"/>
                <w:szCs w:val="22"/>
              </w:rPr>
            </w:pPr>
            <w:r w:rsidRPr="00C57801">
              <w:rPr>
                <w:rFonts w:ascii="HelveticaNeueLT Std" w:hAnsi="HelveticaNeueLT Std" w:cs="Arial"/>
                <w:sz w:val="22"/>
                <w:szCs w:val="22"/>
              </w:rPr>
              <w:t xml:space="preserve">To manage a range of cross-borough support and improvement work, concurrently  </w:t>
            </w:r>
          </w:p>
          <w:p w:rsidR="00C57801" w:rsidRPr="00C57801" w:rsidRDefault="00C57801" w:rsidP="00C57801">
            <w:pPr>
              <w:pStyle w:val="Style1"/>
              <w:numPr>
                <w:ilvl w:val="0"/>
                <w:numId w:val="13"/>
              </w:numPr>
              <w:spacing w:before="120" w:after="120"/>
              <w:rPr>
                <w:rFonts w:ascii="HelveticaNeueLT Std" w:hAnsi="HelveticaNeueLT Std"/>
                <w:sz w:val="22"/>
                <w:szCs w:val="22"/>
              </w:rPr>
            </w:pPr>
            <w:r w:rsidRPr="00C57801">
              <w:rPr>
                <w:rFonts w:ascii="HelveticaNeueLT Std" w:hAnsi="HelveticaNeueLT Std" w:cs="Arial"/>
                <w:sz w:val="22"/>
                <w:szCs w:val="22"/>
              </w:rPr>
              <w:t>To ensure widespread engagement from boroughs and their partners across London, in order to develop buy-in and ownership.</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C57801" w:rsidRPr="00326572" w:rsidRDefault="00C57801" w:rsidP="00C57801">
            <w:pPr>
              <w:pStyle w:val="Default"/>
              <w:jc w:val="both"/>
              <w:rPr>
                <w:rFonts w:ascii="HelveticaNeueLT Std" w:hAnsi="HelveticaNeueLT Std"/>
                <w:b/>
                <w:sz w:val="22"/>
                <w:szCs w:val="22"/>
              </w:rPr>
            </w:pPr>
            <w:r w:rsidRPr="00326572">
              <w:rPr>
                <w:rFonts w:ascii="HelveticaNeueLT Std" w:hAnsi="HelveticaNeueLT Std"/>
                <w:b/>
                <w:sz w:val="22"/>
                <w:szCs w:val="22"/>
              </w:rPr>
              <w:t>Service improvement</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support and influence the improvement agenda for London DsPH, drawing on knowledge of local, regional, and national public health and/or local government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develop and maintain a working knowledge of best practice across the spectrum of local government public health responsibilities, both in London and across the UK</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maintain a working knowledge of public health outcomes and performance in London boroughs using a range of sources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Working with DsPH, to identify priority areas for review and improvement, using agreed prioritisation methods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undertake robust analyses of data (financial, qualitative, quantitative) to identify performance issues, data challenges, strengths and weaknesses, ideas and requirements for improvement.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create and develop bespoke self-assessment and peer-review tools, guidance, training and supporting materials, which provide local authorities with a robust evidence base to assess performance against key priorities and public health outcomes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organise and manage the business of any task and finish groups, review panels and/or improvement workshops, coordinating and monitoring actions to drive improvements in public health outcomes.</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With DsPH and Assistant Directors, to facilitate meetings and workshops to challenge performance, and to champion change and improvement by identifying and sharing good and innovative practice</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lastRenderedPageBreak/>
              <w:t>With lead DsPH for sector led improvement, to identify and broker a package of support for any London borough identified in need of additional support.</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support the continued development of the ADPH London  ways of working, including for sector led improvement and partnership initiatives. This may involve leading on the regular review and evaluation of methodologies or approaches, or where necessary commissioning independent research and/or evaluation expertise. </w:t>
            </w:r>
          </w:p>
          <w:p w:rsidR="00C57801" w:rsidRDefault="00C57801" w:rsidP="00C57801">
            <w:pPr>
              <w:pStyle w:val="Default"/>
              <w:jc w:val="both"/>
              <w:rPr>
                <w:rFonts w:ascii="HelveticaNeueLT Std" w:hAnsi="HelveticaNeueLT Std"/>
                <w:sz w:val="22"/>
                <w:szCs w:val="22"/>
              </w:rPr>
            </w:pPr>
          </w:p>
          <w:p w:rsidR="00C57801" w:rsidRPr="00326572" w:rsidRDefault="00C57801" w:rsidP="00C57801">
            <w:pPr>
              <w:pStyle w:val="Default"/>
              <w:jc w:val="both"/>
              <w:rPr>
                <w:rFonts w:ascii="HelveticaNeueLT Std" w:hAnsi="HelveticaNeueLT Std"/>
                <w:sz w:val="22"/>
                <w:szCs w:val="22"/>
              </w:rPr>
            </w:pPr>
          </w:p>
          <w:p w:rsidR="00C57801" w:rsidRPr="00326572" w:rsidRDefault="00C57801" w:rsidP="00C57801">
            <w:pPr>
              <w:pStyle w:val="Default"/>
              <w:jc w:val="both"/>
              <w:rPr>
                <w:rFonts w:ascii="HelveticaNeueLT Std" w:hAnsi="HelveticaNeueLT Std"/>
                <w:b/>
                <w:sz w:val="22"/>
                <w:szCs w:val="22"/>
              </w:rPr>
            </w:pPr>
            <w:r w:rsidRPr="00326572">
              <w:rPr>
                <w:rFonts w:ascii="HelveticaNeueLT Std" w:hAnsi="HelveticaNeueLT Std"/>
                <w:b/>
                <w:sz w:val="22"/>
                <w:szCs w:val="22"/>
              </w:rPr>
              <w:t xml:space="preserve">Public health policy, performance and strategy </w:t>
            </w:r>
          </w:p>
          <w:p w:rsidR="00C57801" w:rsidRPr="00326572" w:rsidRDefault="00C57801" w:rsidP="00C57801">
            <w:pPr>
              <w:pStyle w:val="Default"/>
              <w:jc w:val="both"/>
              <w:rPr>
                <w:rFonts w:ascii="HelveticaNeueLT Std" w:hAnsi="HelveticaNeueLT Std"/>
                <w:sz w:val="22"/>
                <w:szCs w:val="22"/>
              </w:rPr>
            </w:pP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be the lead public health support to the delivery of identified key projects and strategic initiatives on behalf of the DsPH. Credibility will be important.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contribute public health expertise to the development, and implementation of specific projects within the ADPH London work programme.  For example, undertaking or commissioning Public Health analysis or literature reviews.</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assess future policy and legislative developments, providing advice on the implications for London Directors of Public Health including working through implementation arrangements.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support and influence the coordination of public health policy, strategy and research at a London regional level, as directed by DsPH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identify and commission external work where required and agreed, to support project outcomes </w:t>
            </w:r>
          </w:p>
          <w:p w:rsidR="00C57801" w:rsidRPr="00326572" w:rsidRDefault="00C57801" w:rsidP="00C57801">
            <w:pPr>
              <w:pStyle w:val="Default"/>
              <w:jc w:val="both"/>
              <w:rPr>
                <w:rFonts w:ascii="HelveticaNeueLT Std" w:hAnsi="HelveticaNeueLT Std"/>
                <w:b/>
                <w:sz w:val="22"/>
                <w:szCs w:val="22"/>
              </w:rPr>
            </w:pPr>
          </w:p>
          <w:p w:rsidR="00C57801" w:rsidRPr="00326572" w:rsidRDefault="00C57801" w:rsidP="00C57801">
            <w:pPr>
              <w:pStyle w:val="Default"/>
              <w:jc w:val="both"/>
              <w:rPr>
                <w:rFonts w:ascii="HelveticaNeueLT Std" w:hAnsi="HelveticaNeueLT Std"/>
                <w:b/>
                <w:sz w:val="22"/>
                <w:szCs w:val="22"/>
              </w:rPr>
            </w:pPr>
            <w:r w:rsidRPr="00326572">
              <w:rPr>
                <w:rFonts w:ascii="HelveticaNeueLT Std" w:hAnsi="HelveticaNeueLT Std"/>
                <w:b/>
                <w:sz w:val="22"/>
                <w:szCs w:val="22"/>
              </w:rPr>
              <w:t>Project management</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manage a selected number of projects and pieces of work within the ADPH London programme simultaneously, ensuring planning, organising and prioritising workload to meet project deadlines.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Ensure appropriate governance arrangements are in place for all projects, to ensure quality and safety and best value.  To include clinical governance considerations where required.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apply project management tools, methodologies and best practice to ensure that high standards are achieved across all areas of work, deadlines are met and desired outcomes achieved.</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keep project information up to date, e.g. project plans, schedules, budget, risks and issues logs, communications plans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report project status, risks and issues in accordance with agreed reporting schedules.</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work with other leads and partner agencies to co-ordinate planning and action on cross-cutting work. </w:t>
            </w:r>
          </w:p>
          <w:p w:rsidR="00C57801" w:rsidRPr="00326572" w:rsidRDefault="00C57801" w:rsidP="00C57801">
            <w:pPr>
              <w:pStyle w:val="Default"/>
              <w:jc w:val="both"/>
              <w:rPr>
                <w:rFonts w:ascii="HelveticaNeueLT Std" w:hAnsi="HelveticaNeueLT Std"/>
                <w:b/>
                <w:sz w:val="22"/>
                <w:szCs w:val="22"/>
              </w:rPr>
            </w:pPr>
          </w:p>
          <w:p w:rsidR="00C57801" w:rsidRPr="00326572" w:rsidRDefault="00C57801" w:rsidP="00C57801">
            <w:pPr>
              <w:pStyle w:val="Default"/>
              <w:jc w:val="both"/>
              <w:rPr>
                <w:rFonts w:ascii="HelveticaNeueLT Std" w:hAnsi="HelveticaNeueLT Std"/>
                <w:b/>
                <w:sz w:val="22"/>
                <w:szCs w:val="22"/>
              </w:rPr>
            </w:pPr>
            <w:r w:rsidRPr="00326572">
              <w:rPr>
                <w:rFonts w:ascii="HelveticaNeueLT Std" w:hAnsi="HelveticaNeueLT Std"/>
                <w:b/>
                <w:sz w:val="22"/>
                <w:szCs w:val="22"/>
              </w:rPr>
              <w:t xml:space="preserve">Communication and partnership working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engage and liaise with Directors of Public Health, their leadership teams and other senior colleagues from across the London region to ensure widespread engagement in the programme</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identify and engage with project participants; to facilitate the development of teams to deliver projects where appropriate; and to shape proposals to deliver the outcomes required.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prepare and present updates on the programme activity and to ensure wide-scale buy in, from a range of senior stakeholder groups</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present high quality reports in a variety of written, verbal and presentational formats designed to meet a range of purposes and accessible to a variety of audiences including clinicians and elected Members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lastRenderedPageBreak/>
              <w:t xml:space="preserve">To develop communities of interest, and ensure information is disseminated effectively and actively used by London public health teams. </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ensure that key strategic partners are effectively engaged in and contribute to projects.</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To develop effective working relationships with London Councils, Public Health E</w:t>
            </w:r>
            <w:r w:rsidR="002D10EF">
              <w:rPr>
                <w:rFonts w:ascii="HelveticaNeueLT Std" w:hAnsi="HelveticaNeueLT Std"/>
                <w:sz w:val="22"/>
                <w:szCs w:val="22"/>
              </w:rPr>
              <w:t xml:space="preserve">ngland (London), NHSE (London), </w:t>
            </w:r>
            <w:r w:rsidRPr="00326572">
              <w:rPr>
                <w:rFonts w:ascii="HelveticaNeueLT Std" w:hAnsi="HelveticaNeueLT Std"/>
                <w:sz w:val="22"/>
                <w:szCs w:val="22"/>
              </w:rPr>
              <w:t>London CCGS, ADPH UK and other strategic partners and networks.</w:t>
            </w:r>
          </w:p>
          <w:p w:rsidR="00C57801" w:rsidRPr="00326572" w:rsidRDefault="00C57801" w:rsidP="00C57801">
            <w:pPr>
              <w:pStyle w:val="Default"/>
              <w:numPr>
                <w:ilvl w:val="0"/>
                <w:numId w:val="4"/>
              </w:numPr>
              <w:spacing w:before="120"/>
              <w:jc w:val="both"/>
              <w:rPr>
                <w:rFonts w:ascii="HelveticaNeueLT Std" w:hAnsi="HelveticaNeueLT Std"/>
                <w:sz w:val="22"/>
                <w:szCs w:val="22"/>
              </w:rPr>
            </w:pPr>
            <w:r w:rsidRPr="00326572">
              <w:rPr>
                <w:rFonts w:ascii="HelveticaNeueLT Std" w:hAnsi="HelveticaNeueLT Std"/>
                <w:sz w:val="22"/>
                <w:szCs w:val="22"/>
              </w:rPr>
              <w:t xml:space="preserve">To represent ADPH London and contribute to national programmes as appropriate </w:t>
            </w:r>
          </w:p>
          <w:p w:rsidR="00C57801" w:rsidRPr="00326572" w:rsidRDefault="00C57801" w:rsidP="00C57801">
            <w:pPr>
              <w:pStyle w:val="Default"/>
              <w:jc w:val="both"/>
              <w:rPr>
                <w:rFonts w:ascii="HelveticaNeueLT Std" w:hAnsi="HelveticaNeueLT Std"/>
                <w:b/>
                <w:sz w:val="22"/>
                <w:szCs w:val="22"/>
              </w:rPr>
            </w:pPr>
          </w:p>
          <w:p w:rsidR="002B4102" w:rsidRPr="00C57801" w:rsidRDefault="00C57801" w:rsidP="00C57801">
            <w:pPr>
              <w:pStyle w:val="Default"/>
              <w:numPr>
                <w:ilvl w:val="0"/>
                <w:numId w:val="4"/>
              </w:numPr>
              <w:jc w:val="both"/>
              <w:rPr>
                <w:rFonts w:ascii="HelveticaNeueLT Std" w:hAnsi="HelveticaNeueLT Std"/>
                <w:sz w:val="22"/>
                <w:szCs w:val="22"/>
              </w:rPr>
            </w:pPr>
            <w:r w:rsidRPr="00326572">
              <w:rPr>
                <w:rFonts w:ascii="HelveticaNeueLT Std" w:hAnsi="HelveticaNeueLT Std"/>
                <w:sz w:val="22"/>
                <w:szCs w:val="22"/>
              </w:rPr>
              <w:t xml:space="preserve">Any other duties associated with the core purpose of the role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C57801">
            <w:pPr>
              <w:pStyle w:val="Style1"/>
              <w:numPr>
                <w:ilvl w:val="0"/>
                <w:numId w:val="18"/>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C57801">
            <w:pPr>
              <w:pStyle w:val="Style1"/>
              <w:numPr>
                <w:ilvl w:val="0"/>
                <w:numId w:val="18"/>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C57801">
            <w:pPr>
              <w:pStyle w:val="Style1"/>
              <w:numPr>
                <w:ilvl w:val="0"/>
                <w:numId w:val="18"/>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C57801">
            <w:pPr>
              <w:pStyle w:val="Style1"/>
              <w:numPr>
                <w:ilvl w:val="0"/>
                <w:numId w:val="18"/>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9781" w:type="dxa"/>
        <w:jc w:val="center"/>
        <w:tblLook w:val="06A0" w:firstRow="1" w:lastRow="0" w:firstColumn="1" w:lastColumn="0" w:noHBand="1" w:noVBand="1"/>
      </w:tblPr>
      <w:tblGrid>
        <w:gridCol w:w="604"/>
        <w:gridCol w:w="7030"/>
        <w:gridCol w:w="2147"/>
      </w:tblGrid>
      <w:tr w:rsidR="00301B86" w:rsidRPr="00ED280B" w:rsidTr="004F4D51">
        <w:trPr>
          <w:jc w:val="center"/>
        </w:trPr>
        <w:tc>
          <w:tcPr>
            <w:tcW w:w="567" w:type="dxa"/>
            <w:tcBorders>
              <w:bottom w:val="single" w:sz="4" w:space="0" w:color="auto"/>
            </w:tcBorders>
            <w:shd w:val="clear" w:color="auto" w:fill="D9D9D9" w:themeFill="background1" w:themeFillShade="D9"/>
          </w:tcPr>
          <w:p w:rsidR="00C57801" w:rsidRPr="00D30224" w:rsidRDefault="00C57801" w:rsidP="004F4D51">
            <w:pPr>
              <w:spacing w:beforeLines="20" w:before="48" w:afterLines="20" w:after="48"/>
              <w:jc w:val="both"/>
              <w:rPr>
                <w:rFonts w:ascii="HelveticaNeueLT Std" w:hAnsi="HelveticaNeueLT Std" w:cs="Arial"/>
                <w:b/>
              </w:rPr>
            </w:pPr>
          </w:p>
        </w:tc>
        <w:tc>
          <w:tcPr>
            <w:tcW w:w="7060" w:type="dxa"/>
            <w:tcBorders>
              <w:bottom w:val="single" w:sz="4" w:space="0" w:color="auto"/>
            </w:tcBorders>
            <w:shd w:val="clear" w:color="auto" w:fill="D9D9D9" w:themeFill="background1" w:themeFillShade="D9"/>
          </w:tcPr>
          <w:p w:rsidR="00C57801" w:rsidRPr="00D30224" w:rsidRDefault="00C57801" w:rsidP="004F4D51">
            <w:pPr>
              <w:spacing w:beforeLines="20" w:before="48" w:afterLines="20" w:after="48"/>
              <w:jc w:val="both"/>
              <w:rPr>
                <w:rFonts w:ascii="HelveticaNeueLT Std" w:hAnsi="HelveticaNeueLT Std" w:cs="Arial"/>
                <w:b/>
              </w:rPr>
            </w:pPr>
            <w:r w:rsidRPr="00D30224">
              <w:rPr>
                <w:rFonts w:ascii="HelveticaNeueLT Std" w:hAnsi="HelveticaNeueLT Std"/>
                <w:b/>
                <w:sz w:val="22"/>
                <w:szCs w:val="22"/>
              </w:rPr>
              <w:t>Knowledge, Qualifications, Skills and Experience</w:t>
            </w:r>
          </w:p>
        </w:tc>
        <w:tc>
          <w:tcPr>
            <w:tcW w:w="2154" w:type="dxa"/>
            <w:tcBorders>
              <w:bottom w:val="single" w:sz="4" w:space="0" w:color="auto"/>
            </w:tcBorders>
            <w:shd w:val="clear" w:color="auto" w:fill="D9D9D9" w:themeFill="background1" w:themeFillShade="D9"/>
          </w:tcPr>
          <w:p w:rsidR="00D30224" w:rsidRPr="00D30224" w:rsidRDefault="00D30224" w:rsidP="004F4D51">
            <w:pPr>
              <w:spacing w:beforeLines="20" w:before="48" w:afterLines="20" w:after="48"/>
              <w:jc w:val="center"/>
              <w:rPr>
                <w:rFonts w:ascii="HelveticaNeueLT Std" w:hAnsi="HelveticaNeueLT Std"/>
                <w:b/>
                <w:sz w:val="22"/>
                <w:szCs w:val="22"/>
              </w:rPr>
            </w:pPr>
            <w:r w:rsidRPr="00D30224">
              <w:rPr>
                <w:rFonts w:ascii="HelveticaNeueLT Std" w:hAnsi="HelveticaNeueLT Std"/>
                <w:b/>
                <w:sz w:val="22"/>
                <w:szCs w:val="22"/>
              </w:rPr>
              <w:t>Essential or</w:t>
            </w:r>
          </w:p>
          <w:p w:rsidR="00C57801" w:rsidRPr="00D30224" w:rsidRDefault="00D30224" w:rsidP="004F4D51">
            <w:pPr>
              <w:spacing w:beforeLines="20" w:before="48" w:afterLines="20" w:after="48"/>
              <w:jc w:val="center"/>
              <w:rPr>
                <w:rFonts w:ascii="HelveticaNeueLT Std" w:hAnsi="HelveticaNeueLT Std" w:cs="Arial"/>
                <w:b/>
              </w:rPr>
            </w:pPr>
            <w:r w:rsidRPr="00D30224">
              <w:rPr>
                <w:rFonts w:ascii="HelveticaNeueLT Std" w:hAnsi="HelveticaNeueLT Std"/>
                <w:b/>
                <w:sz w:val="22"/>
                <w:szCs w:val="22"/>
              </w:rPr>
              <w:t>Desirable</w:t>
            </w:r>
          </w:p>
        </w:tc>
      </w:tr>
      <w:tr w:rsidR="00301B86" w:rsidRPr="00ED280B" w:rsidTr="004F4D51">
        <w:trPr>
          <w:jc w:val="center"/>
        </w:trPr>
        <w:tc>
          <w:tcPr>
            <w:tcW w:w="567" w:type="dxa"/>
            <w:tcBorders>
              <w:top w:val="single" w:sz="4" w:space="0" w:color="auto"/>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b/>
                <w:sz w:val="22"/>
                <w:szCs w:val="22"/>
              </w:rPr>
            </w:pPr>
          </w:p>
        </w:tc>
        <w:tc>
          <w:tcPr>
            <w:tcW w:w="7060" w:type="dxa"/>
            <w:tcBorders>
              <w:top w:val="single" w:sz="4" w:space="0" w:color="auto"/>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b/>
                <w:sz w:val="22"/>
                <w:szCs w:val="22"/>
              </w:rPr>
            </w:pPr>
            <w:r w:rsidRPr="00E47B83">
              <w:rPr>
                <w:rFonts w:ascii="HelveticaNeueLT Std" w:hAnsi="HelveticaNeueLT Std" w:cs="Arial"/>
                <w:b/>
                <w:sz w:val="22"/>
                <w:szCs w:val="22"/>
              </w:rPr>
              <w:t>Qualifications</w:t>
            </w:r>
          </w:p>
        </w:tc>
        <w:tc>
          <w:tcPr>
            <w:tcW w:w="2154" w:type="dxa"/>
            <w:tcBorders>
              <w:top w:val="single" w:sz="4" w:space="0" w:color="auto"/>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cs="Arial"/>
                <w:sz w:val="22"/>
                <w:szCs w:val="22"/>
              </w:rPr>
            </w:pP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Q1</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High level qualification in Public Health or equivalent experience</w:t>
            </w: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cs="Arial"/>
                <w:sz w:val="22"/>
                <w:szCs w:val="22"/>
              </w:rPr>
            </w:pPr>
            <w:r w:rsidRPr="00E47B83">
              <w:rPr>
                <w:rFonts w:ascii="HelveticaNeueLT Std" w:hAnsi="HelveticaNeueLT Std" w:cs="Arial"/>
                <w:sz w:val="22"/>
                <w:szCs w:val="22"/>
              </w:rPr>
              <w:t>E</w:t>
            </w:r>
            <w:r w:rsidR="00301B86" w:rsidRPr="00E47B83">
              <w:rPr>
                <w:rFonts w:ascii="HelveticaNeueLT Std" w:hAnsi="HelveticaNeueLT Std" w:cs="Arial"/>
                <w:sz w:val="22"/>
                <w:szCs w:val="22"/>
              </w:rPr>
              <w:t>ssential</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Q2</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 xml:space="preserve">Relevant project management qualification/accreditation </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cs="Arial"/>
                <w:sz w:val="22"/>
                <w:szCs w:val="22"/>
              </w:rPr>
            </w:pPr>
            <w:r w:rsidRPr="00E47B83">
              <w:rPr>
                <w:rFonts w:ascii="HelveticaNeueLT Std" w:hAnsi="HelveticaNeueLT Std" w:cs="Arial"/>
                <w:sz w:val="22"/>
                <w:szCs w:val="22"/>
              </w:rPr>
              <w:t>Desirable</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p>
        </w:tc>
        <w:tc>
          <w:tcPr>
            <w:tcW w:w="7060" w:type="dxa"/>
            <w:tcBorders>
              <w:top w:val="nil"/>
              <w:left w:val="nil"/>
              <w:bottom w:val="nil"/>
              <w:right w:val="nil"/>
            </w:tcBorders>
          </w:tcPr>
          <w:p w:rsidR="00C57801" w:rsidRPr="00E47B83" w:rsidRDefault="00C57801" w:rsidP="004F4D51">
            <w:pPr>
              <w:pStyle w:val="Default"/>
              <w:spacing w:beforeLines="20" w:before="48" w:afterLines="20" w:after="48"/>
              <w:jc w:val="both"/>
              <w:rPr>
                <w:rFonts w:ascii="HelveticaNeueLT Std" w:hAnsi="HelveticaNeueLT Std"/>
                <w:sz w:val="22"/>
                <w:szCs w:val="22"/>
              </w:rPr>
            </w:pP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cs="Arial"/>
                <w:sz w:val="22"/>
                <w:szCs w:val="22"/>
              </w:rPr>
            </w:pP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pStyle w:val="Default"/>
              <w:spacing w:beforeLines="20" w:before="48" w:afterLines="20" w:after="48"/>
              <w:jc w:val="both"/>
              <w:rPr>
                <w:rFonts w:ascii="HelveticaNeueLT Std" w:hAnsi="HelveticaNeueLT Std"/>
                <w:b/>
                <w:sz w:val="22"/>
                <w:szCs w:val="22"/>
              </w:rPr>
            </w:pPr>
          </w:p>
        </w:tc>
        <w:tc>
          <w:tcPr>
            <w:tcW w:w="7060" w:type="dxa"/>
            <w:tcBorders>
              <w:top w:val="nil"/>
              <w:left w:val="nil"/>
              <w:bottom w:val="nil"/>
              <w:right w:val="nil"/>
            </w:tcBorders>
          </w:tcPr>
          <w:p w:rsidR="00C57801" w:rsidRPr="00E47B83" w:rsidRDefault="00C57801" w:rsidP="004F4D51">
            <w:pPr>
              <w:pStyle w:val="Default"/>
              <w:spacing w:beforeLines="20" w:before="48" w:afterLines="20" w:after="48"/>
              <w:jc w:val="both"/>
              <w:rPr>
                <w:rFonts w:ascii="HelveticaNeueLT Std" w:hAnsi="HelveticaNeueLT Std"/>
                <w:sz w:val="22"/>
                <w:szCs w:val="22"/>
              </w:rPr>
            </w:pPr>
            <w:r w:rsidRPr="00E47B83">
              <w:rPr>
                <w:rFonts w:ascii="HelveticaNeueLT Std" w:hAnsi="HelveticaNeueLT Std"/>
                <w:b/>
                <w:sz w:val="22"/>
                <w:szCs w:val="22"/>
              </w:rPr>
              <w:t>Experience</w:t>
            </w: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cs="Arial"/>
                <w:sz w:val="22"/>
                <w:szCs w:val="22"/>
              </w:rPr>
            </w:pP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E1</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Experience (≥ 3 years) of working within an NHS, local authority or other relevant setting in a public health role</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E2</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Experience of conduc</w:t>
            </w:r>
            <w:bookmarkStart w:id="0" w:name="_GoBack"/>
            <w:bookmarkEnd w:id="0"/>
            <w:r w:rsidRPr="00E47B83">
              <w:rPr>
                <w:rFonts w:ascii="HelveticaNeueLT Std" w:hAnsi="HelveticaNeueLT Std" w:cs="Arial"/>
                <w:sz w:val="22"/>
                <w:szCs w:val="22"/>
              </w:rPr>
              <w:t>ting health needs assessment through the collation, analysis and interpretation of key public health data, information and evidence</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E3</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 xml:space="preserve">Experience of undertaking evaluations to effectively measure the outcome and benefit of public health interventions </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E4</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Experience of using project management skills to take a piece of work through the project management cycle from a vision to an outcome</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E5</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Experience of working independently with limited supervision</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E6</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Experience in managing internal and external stakeholders at senior levels and facilitating/leading meetings.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E7</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 xml:space="preserve">Experience of using evidence and intelligence to identify, propose and implement service improvements and/or financial efficiencies </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E8</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 xml:space="preserve">Experience of change management and/or working with groups to facilitate buy-in and ownership </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cs="Arial"/>
                <w:sz w:val="22"/>
                <w:szCs w:val="22"/>
              </w:rPr>
            </w:pPr>
            <w:r w:rsidRPr="00E47B83">
              <w:rPr>
                <w:rFonts w:ascii="HelveticaNeueLT Std" w:hAnsi="HelveticaNeueLT Std" w:cs="Arial"/>
                <w:sz w:val="22"/>
                <w:szCs w:val="22"/>
              </w:rPr>
              <w:t>Desirable</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E9</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 xml:space="preserve">Experience of strong relationship building and influencing with senior stakeholders. </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cs="Arial"/>
                <w:sz w:val="22"/>
                <w:szCs w:val="22"/>
              </w:rPr>
            </w:pPr>
            <w:r w:rsidRPr="00E47B83">
              <w:rPr>
                <w:rFonts w:ascii="HelveticaNeueLT Std" w:hAnsi="HelveticaNeueLT Std" w:cs="Arial"/>
                <w:sz w:val="22"/>
                <w:szCs w:val="22"/>
              </w:rPr>
              <w:t>Desirable</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cs="Arial"/>
                <w:sz w:val="22"/>
                <w:szCs w:val="22"/>
              </w:rPr>
            </w:pP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b/>
                <w:sz w:val="22"/>
                <w:szCs w:val="22"/>
              </w:rPr>
            </w:pP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b/>
                <w:sz w:val="22"/>
                <w:szCs w:val="22"/>
              </w:rPr>
            </w:pPr>
            <w:r w:rsidRPr="00E47B83">
              <w:rPr>
                <w:rFonts w:ascii="HelveticaNeueLT Std" w:hAnsi="HelveticaNeueLT Std"/>
                <w:b/>
                <w:sz w:val="22"/>
                <w:szCs w:val="22"/>
              </w:rPr>
              <w:t>Knowledge, skills and ability</w:t>
            </w: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sz w:val="22"/>
                <w:szCs w:val="22"/>
                <w:highlight w:val="yellow"/>
              </w:rPr>
            </w:pP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K1</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Knowledge of best practice public health in local contexts</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K2</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Knowledge of the public health system in London</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sz w:val="22"/>
                <w:szCs w:val="22"/>
              </w:rPr>
            </w:pPr>
            <w:r w:rsidRPr="00E47B83">
              <w:rPr>
                <w:rFonts w:ascii="HelveticaNeueLT Std" w:hAnsi="HelveticaNeueLT Std" w:cs="Arial"/>
                <w:sz w:val="22"/>
                <w:szCs w:val="22"/>
              </w:rPr>
              <w:t>Desirable</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K3</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Awareness of the political, economic, financial and organisational complexities of local government and the NHS</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K4</w:t>
            </w: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Knowledge of the local government improvement agenda including council performance management functions and improvement methodologies</w:t>
            </w:r>
          </w:p>
        </w:tc>
        <w:tc>
          <w:tcPr>
            <w:tcW w:w="2154" w:type="dxa"/>
            <w:tcBorders>
              <w:top w:val="nil"/>
              <w:left w:val="nil"/>
              <w:bottom w:val="nil"/>
              <w:right w:val="single" w:sz="4" w:space="0" w:color="auto"/>
            </w:tcBorders>
          </w:tcPr>
          <w:p w:rsidR="00C57801" w:rsidRPr="00E47B83" w:rsidRDefault="00301B86" w:rsidP="004F4D51">
            <w:pPr>
              <w:spacing w:beforeLines="20" w:before="48" w:afterLines="20" w:after="48"/>
              <w:jc w:val="center"/>
              <w:rPr>
                <w:rFonts w:ascii="HelveticaNeueLT Std" w:hAnsi="HelveticaNeueLT Std"/>
                <w:sz w:val="22"/>
                <w:szCs w:val="22"/>
              </w:rPr>
            </w:pPr>
            <w:r w:rsidRPr="00E47B83">
              <w:rPr>
                <w:rFonts w:ascii="HelveticaNeueLT Std" w:hAnsi="HelveticaNeueLT Std" w:cs="Arial"/>
                <w:sz w:val="22"/>
                <w:szCs w:val="22"/>
              </w:rPr>
              <w:t>Desirable</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pStyle w:val="Default"/>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K5</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 xml:space="preserve">Understanding of the commissioning process, demonstrated by an ability to describe the complexities of the commissioning cycle and public health’s role within this </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S1</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quickly assimilate a wide range of information</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S2</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undertake robust and accurate quantitative analysis, to analyse the results and to use the findings to develop coherent arguments and proposals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S3</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think independently and creatively.  Able to argue for solutions on the basis of evidence and to scrutinise and challenge accepted ideas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S4</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provide and receive highly complex, sensitive, or contentious information, and manage difficult conversations with tact, diplomacy and political awareness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S5</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 xml:space="preserve">High standard of communication skills, demonstrated by the ability to present complex oral and written information, in a variety of formats to a variety of audiences </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S6</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High standard of report writing skills, demonstrated by the ability to write and contribute to reports of varying length and complexity, for a variety of audiences, in a format where implications of the report are fully understood and inform strategic decision making.</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cs="Arial"/>
                <w:sz w:val="22"/>
                <w:szCs w:val="22"/>
              </w:rPr>
            </w:pPr>
            <w:r w:rsidRPr="00E47B83">
              <w:rPr>
                <w:rFonts w:ascii="HelveticaNeueLT Std" w:hAnsi="HelveticaNeueLT Std" w:cs="Arial"/>
                <w:sz w:val="22"/>
                <w:szCs w:val="22"/>
              </w:rPr>
              <w:t>S7</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work in partnership with other organisations and develop trusting relationships, consolidating different perspectives, identifying areas of mutual interest and agreeing joint objectives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pStyle w:val="Default"/>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S8</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Excellent time management and prioritisation skills, demonstrated by the ability to use own initiative to manage a number of projects simultaneously, ensuring planning, organising and prioritising work load to meet project deadlines and deliver agreed objectives within budget</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S9</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anticipate barriers to delivery and identify innovative ways for overcoming these</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S10</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Ability to work in an uncertain and evolving environment</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S11</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Strong IT skills (excel, word, powerpoint, outlook)</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sz w:val="22"/>
                <w:szCs w:val="22"/>
              </w:rPr>
            </w:pP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sz w:val="22"/>
                <w:szCs w:val="22"/>
              </w:rPr>
            </w:pPr>
          </w:p>
        </w:tc>
      </w:tr>
      <w:tr w:rsidR="00301B86" w:rsidRPr="00ED280B" w:rsidTr="004F4D51">
        <w:trPr>
          <w:jc w:val="center"/>
        </w:trPr>
        <w:tc>
          <w:tcPr>
            <w:tcW w:w="567" w:type="dxa"/>
            <w:tcBorders>
              <w:top w:val="nil"/>
              <w:left w:val="single" w:sz="4" w:space="0" w:color="auto"/>
              <w:bottom w:val="nil"/>
              <w:right w:val="nil"/>
            </w:tcBorders>
          </w:tcPr>
          <w:p w:rsidR="00C57801" w:rsidRPr="00E47B83" w:rsidRDefault="00C57801" w:rsidP="004F4D51">
            <w:pPr>
              <w:spacing w:beforeLines="20" w:before="48" w:afterLines="20" w:after="48"/>
              <w:jc w:val="both"/>
              <w:rPr>
                <w:rFonts w:ascii="HelveticaNeueLT Std" w:hAnsi="HelveticaNeueLT Std"/>
                <w:b/>
                <w:sz w:val="22"/>
                <w:szCs w:val="22"/>
              </w:rPr>
            </w:pPr>
          </w:p>
        </w:tc>
        <w:tc>
          <w:tcPr>
            <w:tcW w:w="7060" w:type="dxa"/>
            <w:tcBorders>
              <w:top w:val="nil"/>
              <w:left w:val="nil"/>
              <w:bottom w:val="nil"/>
              <w:right w:val="nil"/>
            </w:tcBorders>
          </w:tcPr>
          <w:p w:rsidR="00C57801" w:rsidRPr="00E47B83" w:rsidRDefault="00C57801" w:rsidP="004F4D51">
            <w:pPr>
              <w:spacing w:beforeLines="20" w:before="48" w:afterLines="20" w:after="48"/>
              <w:jc w:val="both"/>
              <w:rPr>
                <w:rFonts w:ascii="HelveticaNeueLT Std" w:hAnsi="HelveticaNeueLT Std"/>
                <w:b/>
                <w:sz w:val="22"/>
                <w:szCs w:val="22"/>
              </w:rPr>
            </w:pPr>
            <w:r w:rsidRPr="00E47B83">
              <w:rPr>
                <w:rFonts w:ascii="HelveticaNeueLT Std" w:hAnsi="HelveticaNeueLT Std"/>
                <w:b/>
                <w:sz w:val="22"/>
                <w:szCs w:val="22"/>
              </w:rPr>
              <w:t>Other</w:t>
            </w:r>
          </w:p>
        </w:tc>
        <w:tc>
          <w:tcPr>
            <w:tcW w:w="2154" w:type="dxa"/>
            <w:tcBorders>
              <w:top w:val="nil"/>
              <w:left w:val="nil"/>
              <w:bottom w:val="nil"/>
              <w:right w:val="single" w:sz="4" w:space="0" w:color="auto"/>
            </w:tcBorders>
          </w:tcPr>
          <w:p w:rsidR="00C57801" w:rsidRPr="00E47B83" w:rsidRDefault="00C57801" w:rsidP="004F4D51">
            <w:pPr>
              <w:spacing w:beforeLines="20" w:before="48" w:afterLines="20" w:after="48"/>
              <w:jc w:val="center"/>
              <w:rPr>
                <w:rFonts w:ascii="HelveticaNeueLT Std" w:hAnsi="HelveticaNeueLT Std"/>
                <w:sz w:val="22"/>
                <w:szCs w:val="22"/>
              </w:rPr>
            </w:pP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O1</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Commitment to excellent public services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O2</w:t>
            </w:r>
          </w:p>
        </w:tc>
        <w:tc>
          <w:tcPr>
            <w:tcW w:w="7060" w:type="dxa"/>
            <w:tcBorders>
              <w:top w:val="nil"/>
              <w:left w:val="nil"/>
              <w:bottom w:val="nil"/>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A ‘can do’ attitude focused on solutions</w:t>
            </w:r>
          </w:p>
        </w:tc>
        <w:tc>
          <w:tcPr>
            <w:tcW w:w="2154" w:type="dxa"/>
            <w:tcBorders>
              <w:top w:val="nil"/>
              <w:left w:val="nil"/>
              <w:bottom w:val="nil"/>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r w:rsidR="00301B86" w:rsidRPr="00ED280B" w:rsidTr="004F4D51">
        <w:trPr>
          <w:jc w:val="center"/>
        </w:trPr>
        <w:tc>
          <w:tcPr>
            <w:tcW w:w="567" w:type="dxa"/>
            <w:tcBorders>
              <w:top w:val="nil"/>
              <w:left w:val="single" w:sz="4" w:space="0" w:color="auto"/>
              <w:bottom w:val="single" w:sz="4" w:space="0" w:color="auto"/>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O3</w:t>
            </w:r>
          </w:p>
        </w:tc>
        <w:tc>
          <w:tcPr>
            <w:tcW w:w="7060" w:type="dxa"/>
            <w:tcBorders>
              <w:top w:val="nil"/>
              <w:left w:val="nil"/>
              <w:bottom w:val="single" w:sz="4" w:space="0" w:color="auto"/>
              <w:right w:val="nil"/>
            </w:tcBorders>
          </w:tcPr>
          <w:p w:rsidR="00301B86" w:rsidRPr="00E47B83" w:rsidRDefault="00301B86" w:rsidP="004F4D51">
            <w:pPr>
              <w:spacing w:beforeLines="20" w:before="48" w:afterLines="20" w:after="48"/>
              <w:jc w:val="both"/>
              <w:rPr>
                <w:rFonts w:ascii="HelveticaNeueLT Std" w:hAnsi="HelveticaNeueLT Std"/>
                <w:sz w:val="22"/>
                <w:szCs w:val="22"/>
              </w:rPr>
            </w:pPr>
            <w:r w:rsidRPr="00E47B83">
              <w:rPr>
                <w:rFonts w:ascii="HelveticaNeueLT Std" w:hAnsi="HelveticaNeueLT Std"/>
                <w:sz w:val="22"/>
                <w:szCs w:val="22"/>
              </w:rPr>
              <w:t>Demonstrates honesty and integrity and promotes organisational values</w:t>
            </w:r>
          </w:p>
        </w:tc>
        <w:tc>
          <w:tcPr>
            <w:tcW w:w="2154" w:type="dxa"/>
            <w:tcBorders>
              <w:top w:val="nil"/>
              <w:left w:val="nil"/>
              <w:bottom w:val="single" w:sz="4" w:space="0" w:color="auto"/>
              <w:right w:val="single" w:sz="4" w:space="0" w:color="auto"/>
            </w:tcBorders>
          </w:tcPr>
          <w:p w:rsidR="00301B86" w:rsidRPr="00E47B83" w:rsidRDefault="00301B86" w:rsidP="004F4D51">
            <w:pPr>
              <w:spacing w:beforeLines="20" w:before="48" w:afterLines="20" w:after="48"/>
              <w:jc w:val="center"/>
              <w:rPr>
                <w:sz w:val="22"/>
                <w:szCs w:val="22"/>
              </w:rPr>
            </w:pPr>
            <w:r w:rsidRPr="00E47B83">
              <w:rPr>
                <w:rFonts w:ascii="HelveticaNeueLT Std" w:hAnsi="HelveticaNeueLT Std" w:cs="Arial"/>
                <w:sz w:val="22"/>
                <w:szCs w:val="22"/>
              </w:rPr>
              <w:t>Essential</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140E79">
            <w:pPr>
              <w:rPr>
                <w:rFonts w:ascii="HelveticaNeueLT Std" w:hAnsi="HelveticaNeueLT Std"/>
                <w:color w:val="000000" w:themeColor="text1"/>
                <w:sz w:val="22"/>
                <w:szCs w:val="22"/>
              </w:rPr>
            </w:pP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Directors of Public Health from all London Local Authorities</w:t>
            </w: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ADPH London Programme Team</w:t>
            </w: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 xml:space="preserve">London Councils </w:t>
            </w: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Public Health England (London)</w:t>
            </w: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NHS England London</w:t>
            </w: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ADPH UK</w:t>
            </w:r>
          </w:p>
          <w:p w:rsidR="00E47B83" w:rsidRPr="00E47B83" w:rsidRDefault="00E47B83" w:rsidP="00E47B83">
            <w:pPr>
              <w:pStyle w:val="Style1"/>
              <w:numPr>
                <w:ilvl w:val="0"/>
                <w:numId w:val="20"/>
              </w:numPr>
              <w:spacing w:before="120" w:after="120"/>
              <w:rPr>
                <w:rFonts w:ascii="HelveticaNeueLT Std" w:hAnsi="HelveticaNeueLT Std" w:cs="Arial"/>
                <w:sz w:val="22"/>
                <w:szCs w:val="22"/>
              </w:rPr>
            </w:pPr>
            <w:r w:rsidRPr="00E47B83">
              <w:rPr>
                <w:rFonts w:ascii="HelveticaNeueLT Std" w:hAnsi="HelveticaNeueLT Std" w:cs="Arial"/>
                <w:sz w:val="22"/>
                <w:szCs w:val="22"/>
              </w:rPr>
              <w:t>Staff working across other ADPH regions</w:t>
            </w:r>
          </w:p>
          <w:p w:rsidR="00E47B83" w:rsidRPr="00ED280B" w:rsidRDefault="00E47B83">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E06CBE" w:rsidP="00E06CBE">
            <w:pPr>
              <w:pStyle w:val="Style1"/>
              <w:numPr>
                <w:ilvl w:val="0"/>
                <w:numId w:val="0"/>
              </w:numPr>
              <w:spacing w:before="120" w:after="120"/>
              <w:rPr>
                <w:rFonts w:ascii="HelveticaNeueLT Std" w:hAnsi="HelveticaNeueLT Std" w:cs="Arial"/>
                <w:sz w:val="22"/>
                <w:szCs w:val="22"/>
              </w:rPr>
            </w:pPr>
            <w:r w:rsidRPr="00E06CBE">
              <w:rPr>
                <w:rFonts w:ascii="HelveticaNeueLT Std" w:hAnsi="HelveticaNeueLT Std" w:cs="Arial"/>
                <w:b/>
                <w:sz w:val="22"/>
                <w:szCs w:val="22"/>
              </w:rPr>
              <w:t>Location</w:t>
            </w:r>
            <w:r>
              <w:rPr>
                <w:rFonts w:ascii="HelveticaNeueLT Std" w:hAnsi="HelveticaNeueLT Std" w:cs="Arial"/>
                <w:sz w:val="22"/>
                <w:szCs w:val="22"/>
              </w:rPr>
              <w:t xml:space="preserve">: </w:t>
            </w:r>
            <w:r w:rsidR="00961873" w:rsidRPr="00ED280B">
              <w:rPr>
                <w:rFonts w:ascii="HelveticaNeueLT Std" w:hAnsi="HelveticaNeueLT Std" w:cs="Arial"/>
                <w:sz w:val="22"/>
                <w:szCs w:val="22"/>
              </w:rPr>
              <w:t xml:space="preserve">This position </w:t>
            </w:r>
            <w:r>
              <w:rPr>
                <w:rFonts w:ascii="HelveticaNeueLT Std" w:hAnsi="HelveticaNeueLT Std" w:cs="Arial"/>
                <w:sz w:val="22"/>
                <w:szCs w:val="22"/>
              </w:rPr>
              <w:t>is based</w:t>
            </w:r>
            <w:r w:rsidRPr="00E06CBE">
              <w:rPr>
                <w:rFonts w:ascii="HelveticaNeueLT Std" w:hAnsi="HelveticaNeueLT Std" w:cs="Arial"/>
                <w:sz w:val="22"/>
                <w:szCs w:val="22"/>
              </w:rPr>
              <w:t xml:space="preserve"> across Haringey Council offices (Wood Green) and London Councils (London Bridge), with occasional working across London boroughs</w:t>
            </w:r>
            <w:r>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906"/>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Default="002E7B93" w:rsidP="00B63A30">
            <w:pPr>
              <w:spacing w:before="120" w:after="120"/>
              <w:rPr>
                <w:rFonts w:ascii="HelveticaNeueLT Std" w:hAnsi="HelveticaNeueLT Std"/>
                <w:sz w:val="22"/>
                <w:szCs w:val="22"/>
              </w:rPr>
            </w:pPr>
          </w:p>
          <w:p w:rsidR="00E31F8B" w:rsidRDefault="00E31F8B" w:rsidP="00B63A30">
            <w:pPr>
              <w:spacing w:before="120" w:after="120"/>
              <w:rPr>
                <w:rFonts w:ascii="HelveticaNeueLT Std" w:hAnsi="HelveticaNeueLT Std"/>
                <w:sz w:val="22"/>
                <w:szCs w:val="22"/>
              </w:rPr>
            </w:pPr>
            <w:r>
              <w:rPr>
                <w:rFonts w:ascii="HelveticaNeueLT Std" w:hAnsi="HelveticaNeueLT Std"/>
                <w:noProof/>
                <w:sz w:val="22"/>
                <w:szCs w:val="22"/>
              </w:rPr>
              <w:drawing>
                <wp:inline distT="0" distB="0" distL="0" distR="0">
                  <wp:extent cx="6017260" cy="2509284"/>
                  <wp:effectExtent l="38100" t="19050" r="97790" b="438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1F8B" w:rsidRPr="00ED280B" w:rsidRDefault="00E31F8B" w:rsidP="00B63A30">
            <w:pPr>
              <w:spacing w:before="120" w:after="120"/>
              <w:rPr>
                <w:rFonts w:ascii="HelveticaNeueLT Std" w:hAnsi="HelveticaNeueLT Std"/>
                <w:sz w:val="22"/>
                <w:szCs w:val="22"/>
              </w:rPr>
            </w:pP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7A5C12"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7A5C12"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7A5C12" w:rsidP="007A5C12">
            <w:pPr>
              <w:jc w:val="center"/>
              <w:rPr>
                <w:rFonts w:ascii="HelveticaNeueLT Std" w:hAnsi="HelveticaNeueLT Std"/>
                <w:sz w:val="22"/>
                <w:szCs w:val="22"/>
              </w:rPr>
            </w:pPr>
            <w:r>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9025F7"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7A5C12" w:rsidP="007A5C12">
            <w:pPr>
              <w:jc w:val="cente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9025F7" w:rsidP="007A5C12">
            <w:pPr>
              <w:jc w:val="center"/>
              <w:rPr>
                <w:rFonts w:ascii="HelveticaNeueLT Std" w:hAnsi="HelveticaNeueLT Std"/>
              </w:rPr>
            </w:pPr>
            <w:r>
              <w:rPr>
                <w:rFonts w:ascii="HelveticaNeueLT Std" w:hAnsi="HelveticaNeueLT Std"/>
              </w:rPr>
              <w:t>90%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7A5C12" w:rsidP="007A5C12">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7A5C12">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7A5C12" w:rsidP="007A5C12">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7A5C12">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7A5C12" w:rsidP="007A5C12">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7A5C12">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7A5C12" w:rsidP="007A5C12">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7A5C12">
            <w:pPr>
              <w:jc w:val="cente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7A5C12" w:rsidP="007A5C12">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7A5C12">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7A5C12">
            <w:pPr>
              <w:jc w:val="center"/>
              <w:rPr>
                <w:rFonts w:ascii="HelveticaNeueLT Std" w:hAnsi="HelveticaNeueLT Std"/>
                <w:sz w:val="21"/>
                <w:szCs w:val="21"/>
              </w:rPr>
            </w:pPr>
          </w:p>
          <w:p w:rsidR="00324FDD"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7A5C12" w:rsidP="007A5C12">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7A5C12">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7A5C12" w:rsidP="007A5C12">
            <w:pPr>
              <w:jc w:val="cente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right w:val="single" w:sz="6" w:space="0" w:color="auto"/>
            </w:tcBorders>
            <w:vAlign w:val="center"/>
          </w:tcPr>
          <w:p w:rsidR="00E57D5A" w:rsidRPr="00121EF9" w:rsidRDefault="009025F7" w:rsidP="00061C26">
            <w:pPr>
              <w:jc w:val="center"/>
              <w:rPr>
                <w:rFonts w:ascii="HelveticaNeueLT Std" w:hAnsi="HelveticaNeueLT Std"/>
                <w:sz w:val="21"/>
                <w:szCs w:val="21"/>
              </w:rPr>
            </w:pPr>
            <w:r>
              <w:rPr>
                <w:rFonts w:ascii="HelveticaNeueLT Std" w:hAnsi="HelveticaNeueLT Std"/>
                <w:sz w:val="21"/>
                <w:szCs w:val="21"/>
              </w:rPr>
              <w:t>90%</w:t>
            </w: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7A5C12">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7A5C12" w:rsidP="007A5C12">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7A5C12" w:rsidP="007A5C12">
            <w:pPr>
              <w:jc w:val="cente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9025F7" w:rsidP="007A5C12">
            <w:pPr>
              <w:jc w:val="center"/>
              <w:rPr>
                <w:rFonts w:ascii="HelveticaNeueLT Std" w:hAnsi="HelveticaNeueLT Std"/>
                <w:sz w:val="21"/>
                <w:szCs w:val="21"/>
              </w:rPr>
            </w:pPr>
            <w:r>
              <w:rPr>
                <w:rFonts w:ascii="HelveticaNeueLT Std" w:hAnsi="HelveticaNeueLT Std"/>
                <w:sz w:val="21"/>
                <w:szCs w:val="21"/>
              </w:rPr>
              <w:t>90%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7A5C12"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7A5C12"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7A5C12"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7A5C12"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7A5C12"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7A5C12" w:rsidP="00121EF9">
            <w:pPr>
              <w:jc w:val="center"/>
              <w:rPr>
                <w:rFonts w:ascii="HelveticaNeueLT Std" w:hAnsi="HelveticaNeueLT Std"/>
                <w:sz w:val="22"/>
                <w:szCs w:val="22"/>
              </w:rPr>
            </w:pPr>
            <w:r>
              <w:rPr>
                <w:rFonts w:ascii="HelveticaNeueLT Std" w:hAnsi="HelveticaNeueLT Std"/>
                <w:sz w:val="21"/>
                <w:szCs w:val="21"/>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21293" w:rsidP="00E57D5A">
            <w:pPr>
              <w:spacing w:before="120" w:after="120"/>
              <w:rPr>
                <w:color w:val="000000" w:themeColor="text1"/>
              </w:rPr>
            </w:pPr>
            <w:r>
              <w:rPr>
                <w:rFonts w:ascii="HelveticaNeueLT Std" w:hAnsi="HelveticaNeueLT Std"/>
                <w:sz w:val="21"/>
                <w:szCs w:val="2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820612" w:rsidP="00E57D5A">
            <w:pPr>
              <w:spacing w:before="120" w:after="120"/>
              <w:rPr>
                <w:color w:val="000000" w:themeColor="text1"/>
              </w:rPr>
            </w:pPr>
            <w:r w:rsidRPr="00820612">
              <w:rPr>
                <w:rFonts w:ascii="HelveticaNeueLT Std" w:hAnsi="HelveticaNeueLT Std"/>
                <w:sz w:val="21"/>
                <w:szCs w:val="2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820612" w:rsidP="00E57D5A">
            <w:pPr>
              <w:spacing w:before="120" w:after="120"/>
              <w:rPr>
                <w:color w:val="000000" w:themeColor="text1"/>
              </w:rPr>
            </w:pPr>
            <w:r w:rsidRPr="00820612">
              <w:rPr>
                <w:rFonts w:ascii="HelveticaNeueLT Std" w:hAnsi="HelveticaNeueLT Std"/>
                <w:sz w:val="21"/>
                <w:szCs w:val="21"/>
              </w:rPr>
              <w:t>Council assigned IT equipment including laptop</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820612" w:rsidP="00E57D5A">
            <w:pPr>
              <w:spacing w:before="120" w:after="120"/>
              <w:rPr>
                <w:color w:val="000000" w:themeColor="text1"/>
              </w:rPr>
            </w:pPr>
            <w:r w:rsidRPr="00820612">
              <w:rPr>
                <w:rFonts w:ascii="HelveticaNeueLT Std" w:hAnsi="HelveticaNeueLT Std"/>
                <w:sz w:val="21"/>
                <w:szCs w:val="2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21293" w:rsidP="00421293">
            <w:pPr>
              <w:spacing w:before="120" w:after="120"/>
              <w:rPr>
                <w:color w:val="000000" w:themeColor="text1"/>
              </w:rPr>
            </w:pPr>
            <w:r w:rsidRPr="00421293">
              <w:rPr>
                <w:rFonts w:ascii="HelveticaNeueLT Std" w:hAnsi="HelveticaNeueLT Std"/>
                <w:sz w:val="21"/>
                <w:szCs w:val="21"/>
              </w:rPr>
              <w:t>Use of shared drive and maintenance of files and folders in line with team working practices</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21293" w:rsidP="00421293">
            <w:pPr>
              <w:spacing w:before="120" w:after="120"/>
              <w:rPr>
                <w:color w:val="FF0000"/>
              </w:rPr>
            </w:pPr>
            <w:r w:rsidRPr="00421293">
              <w:rPr>
                <w:rFonts w:ascii="HelveticaNeueLT Std" w:hAnsi="HelveticaNeueLT Std"/>
                <w:sz w:val="21"/>
                <w:szCs w:val="21"/>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8B" w:rsidRDefault="00E31F8B">
      <w:r>
        <w:separator/>
      </w:r>
    </w:p>
  </w:endnote>
  <w:endnote w:type="continuationSeparator" w:id="0">
    <w:p w:rsidR="00E31F8B" w:rsidRDefault="00E3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8B" w:rsidRDefault="00E31F8B">
      <w:r>
        <w:separator/>
      </w:r>
    </w:p>
  </w:footnote>
  <w:footnote w:type="continuationSeparator" w:id="0">
    <w:p w:rsidR="00E31F8B" w:rsidRDefault="00E3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8B" w:rsidRDefault="00E31F8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8B" w:rsidRDefault="00E31F8B"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E31F8B" w:rsidRDefault="00E31F8B"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DAD"/>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0285D"/>
    <w:multiLevelType w:val="hybridMultilevel"/>
    <w:tmpl w:val="65561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0D574C"/>
    <w:multiLevelType w:val="hybridMultilevel"/>
    <w:tmpl w:val="6AA0E02E"/>
    <w:lvl w:ilvl="0" w:tplc="EE82A096">
      <w:start w:val="1"/>
      <w:numFmt w:val="bullet"/>
      <w:lvlText w:val="•"/>
      <w:lvlJc w:val="left"/>
      <w:pPr>
        <w:tabs>
          <w:tab w:val="num" w:pos="720"/>
        </w:tabs>
        <w:ind w:left="720" w:hanging="360"/>
      </w:pPr>
      <w:rPr>
        <w:rFonts w:ascii="Times New Roman" w:hAnsi="Times New Roman" w:hint="default"/>
      </w:rPr>
    </w:lvl>
    <w:lvl w:ilvl="1" w:tplc="4CEC8784" w:tentative="1">
      <w:start w:val="1"/>
      <w:numFmt w:val="bullet"/>
      <w:lvlText w:val="•"/>
      <w:lvlJc w:val="left"/>
      <w:pPr>
        <w:tabs>
          <w:tab w:val="num" w:pos="1440"/>
        </w:tabs>
        <w:ind w:left="1440" w:hanging="360"/>
      </w:pPr>
      <w:rPr>
        <w:rFonts w:ascii="Times New Roman" w:hAnsi="Times New Roman" w:hint="default"/>
      </w:rPr>
    </w:lvl>
    <w:lvl w:ilvl="2" w:tplc="615A0EF4" w:tentative="1">
      <w:start w:val="1"/>
      <w:numFmt w:val="bullet"/>
      <w:lvlText w:val="•"/>
      <w:lvlJc w:val="left"/>
      <w:pPr>
        <w:tabs>
          <w:tab w:val="num" w:pos="2160"/>
        </w:tabs>
        <w:ind w:left="2160" w:hanging="360"/>
      </w:pPr>
      <w:rPr>
        <w:rFonts w:ascii="Times New Roman" w:hAnsi="Times New Roman" w:hint="default"/>
      </w:rPr>
    </w:lvl>
    <w:lvl w:ilvl="3" w:tplc="004013E8" w:tentative="1">
      <w:start w:val="1"/>
      <w:numFmt w:val="bullet"/>
      <w:lvlText w:val="•"/>
      <w:lvlJc w:val="left"/>
      <w:pPr>
        <w:tabs>
          <w:tab w:val="num" w:pos="2880"/>
        </w:tabs>
        <w:ind w:left="2880" w:hanging="360"/>
      </w:pPr>
      <w:rPr>
        <w:rFonts w:ascii="Times New Roman" w:hAnsi="Times New Roman" w:hint="default"/>
      </w:rPr>
    </w:lvl>
    <w:lvl w:ilvl="4" w:tplc="24A8B17E" w:tentative="1">
      <w:start w:val="1"/>
      <w:numFmt w:val="bullet"/>
      <w:lvlText w:val="•"/>
      <w:lvlJc w:val="left"/>
      <w:pPr>
        <w:tabs>
          <w:tab w:val="num" w:pos="3600"/>
        </w:tabs>
        <w:ind w:left="3600" w:hanging="360"/>
      </w:pPr>
      <w:rPr>
        <w:rFonts w:ascii="Times New Roman" w:hAnsi="Times New Roman" w:hint="default"/>
      </w:rPr>
    </w:lvl>
    <w:lvl w:ilvl="5" w:tplc="B63A5A96" w:tentative="1">
      <w:start w:val="1"/>
      <w:numFmt w:val="bullet"/>
      <w:lvlText w:val="•"/>
      <w:lvlJc w:val="left"/>
      <w:pPr>
        <w:tabs>
          <w:tab w:val="num" w:pos="4320"/>
        </w:tabs>
        <w:ind w:left="4320" w:hanging="360"/>
      </w:pPr>
      <w:rPr>
        <w:rFonts w:ascii="Times New Roman" w:hAnsi="Times New Roman" w:hint="default"/>
      </w:rPr>
    </w:lvl>
    <w:lvl w:ilvl="6" w:tplc="A2FE7EEA" w:tentative="1">
      <w:start w:val="1"/>
      <w:numFmt w:val="bullet"/>
      <w:lvlText w:val="•"/>
      <w:lvlJc w:val="left"/>
      <w:pPr>
        <w:tabs>
          <w:tab w:val="num" w:pos="5040"/>
        </w:tabs>
        <w:ind w:left="5040" w:hanging="360"/>
      </w:pPr>
      <w:rPr>
        <w:rFonts w:ascii="Times New Roman" w:hAnsi="Times New Roman" w:hint="default"/>
      </w:rPr>
    </w:lvl>
    <w:lvl w:ilvl="7" w:tplc="3BA8F274" w:tentative="1">
      <w:start w:val="1"/>
      <w:numFmt w:val="bullet"/>
      <w:lvlText w:val="•"/>
      <w:lvlJc w:val="left"/>
      <w:pPr>
        <w:tabs>
          <w:tab w:val="num" w:pos="5760"/>
        </w:tabs>
        <w:ind w:left="5760" w:hanging="360"/>
      </w:pPr>
      <w:rPr>
        <w:rFonts w:ascii="Times New Roman" w:hAnsi="Times New Roman" w:hint="default"/>
      </w:rPr>
    </w:lvl>
    <w:lvl w:ilvl="8" w:tplc="014285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6D0D3F"/>
    <w:multiLevelType w:val="hybridMultilevel"/>
    <w:tmpl w:val="B9186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7268AE"/>
    <w:multiLevelType w:val="hybridMultilevel"/>
    <w:tmpl w:val="7542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2489B"/>
    <w:multiLevelType w:val="hybridMultilevel"/>
    <w:tmpl w:val="C1B02B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3"/>
  </w:num>
  <w:num w:numId="4">
    <w:abstractNumId w:val="3"/>
  </w:num>
  <w:num w:numId="5">
    <w:abstractNumId w:val="12"/>
  </w:num>
  <w:num w:numId="6">
    <w:abstractNumId w:val="8"/>
  </w:num>
  <w:num w:numId="7">
    <w:abstractNumId w:val="2"/>
  </w:num>
  <w:num w:numId="8">
    <w:abstractNumId w:val="10"/>
  </w:num>
  <w:num w:numId="9">
    <w:abstractNumId w:val="1"/>
  </w:num>
  <w:num w:numId="10">
    <w:abstractNumId w:val="4"/>
  </w:num>
  <w:num w:numId="11">
    <w:abstractNumId w:val="15"/>
  </w:num>
  <w:num w:numId="12">
    <w:abstractNumId w:val="4"/>
  </w:num>
  <w:num w:numId="13">
    <w:abstractNumId w:val="17"/>
  </w:num>
  <w:num w:numId="14">
    <w:abstractNumId w:val="16"/>
  </w:num>
  <w:num w:numId="15">
    <w:abstractNumId w:val="4"/>
  </w:num>
  <w:num w:numId="16">
    <w:abstractNumId w:val="11"/>
  </w:num>
  <w:num w:numId="17">
    <w:abstractNumId w:val="7"/>
  </w:num>
  <w:num w:numId="18">
    <w:abstractNumId w:val="0"/>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D10EF"/>
    <w:rsid w:val="002E15B4"/>
    <w:rsid w:val="002E279B"/>
    <w:rsid w:val="002E7B93"/>
    <w:rsid w:val="00301B86"/>
    <w:rsid w:val="003201E8"/>
    <w:rsid w:val="00321A0E"/>
    <w:rsid w:val="00324FDD"/>
    <w:rsid w:val="00326619"/>
    <w:rsid w:val="0035665B"/>
    <w:rsid w:val="00357F14"/>
    <w:rsid w:val="00374BAE"/>
    <w:rsid w:val="003A18C3"/>
    <w:rsid w:val="003A6C3A"/>
    <w:rsid w:val="00421293"/>
    <w:rsid w:val="00474C6D"/>
    <w:rsid w:val="00481007"/>
    <w:rsid w:val="004867D0"/>
    <w:rsid w:val="004C7C0A"/>
    <w:rsid w:val="004E46BD"/>
    <w:rsid w:val="004F4D51"/>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A5C12"/>
    <w:rsid w:val="007D5AEA"/>
    <w:rsid w:val="007D68F6"/>
    <w:rsid w:val="007F73E9"/>
    <w:rsid w:val="00820612"/>
    <w:rsid w:val="0089011D"/>
    <w:rsid w:val="008D17A6"/>
    <w:rsid w:val="008D4095"/>
    <w:rsid w:val="009025F7"/>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57801"/>
    <w:rsid w:val="00C61731"/>
    <w:rsid w:val="00C84F93"/>
    <w:rsid w:val="00C9154C"/>
    <w:rsid w:val="00C97B8C"/>
    <w:rsid w:val="00CB7CD0"/>
    <w:rsid w:val="00CE3813"/>
    <w:rsid w:val="00CF0724"/>
    <w:rsid w:val="00D13517"/>
    <w:rsid w:val="00D30224"/>
    <w:rsid w:val="00D52B39"/>
    <w:rsid w:val="00D543B0"/>
    <w:rsid w:val="00D74EC9"/>
    <w:rsid w:val="00D87BE5"/>
    <w:rsid w:val="00D90E17"/>
    <w:rsid w:val="00DB0416"/>
    <w:rsid w:val="00DC56F1"/>
    <w:rsid w:val="00DD0656"/>
    <w:rsid w:val="00DE1A76"/>
    <w:rsid w:val="00E06CBE"/>
    <w:rsid w:val="00E31F8B"/>
    <w:rsid w:val="00E34A97"/>
    <w:rsid w:val="00E40740"/>
    <w:rsid w:val="00E4129E"/>
    <w:rsid w:val="00E469EE"/>
    <w:rsid w:val="00E47B83"/>
    <w:rsid w:val="00E51EB9"/>
    <w:rsid w:val="00E57D5A"/>
    <w:rsid w:val="00E57DA5"/>
    <w:rsid w:val="00E65BB0"/>
    <w:rsid w:val="00E65E25"/>
    <w:rsid w:val="00E82221"/>
    <w:rsid w:val="00EA1069"/>
    <w:rsid w:val="00ED10D7"/>
    <w:rsid w:val="00ED280B"/>
    <w:rsid w:val="00EF284C"/>
    <w:rsid w:val="00EF51E2"/>
    <w:rsid w:val="00F07876"/>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82C852-F5FE-4C3E-A010-7226CA6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Default">
    <w:name w:val="Default"/>
    <w:rsid w:val="00C578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 w:id="2005086286">
      <w:bodyDiv w:val="1"/>
      <w:marLeft w:val="0"/>
      <w:marRight w:val="0"/>
      <w:marTop w:val="0"/>
      <w:marBottom w:val="0"/>
      <w:divBdr>
        <w:top w:val="none" w:sz="0" w:space="0" w:color="auto"/>
        <w:left w:val="none" w:sz="0" w:space="0" w:color="auto"/>
        <w:bottom w:val="none" w:sz="0" w:space="0" w:color="auto"/>
        <w:right w:val="none" w:sz="0" w:space="0" w:color="auto"/>
      </w:divBdr>
      <w:divsChild>
        <w:div w:id="73714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1C55BB-1471-40B9-99E0-D503B99B7AA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2E6FCAB-A4B5-4123-8273-85958A2B26ED}">
      <dgm:prSet phldrT="[Text]"/>
      <dgm:spPr/>
      <dgm:t>
        <a:bodyPr/>
        <a:lstStyle/>
        <a:p>
          <a:r>
            <a:rPr lang="en-US"/>
            <a:t>Programme Manager (PO8)</a:t>
          </a:r>
        </a:p>
      </dgm:t>
    </dgm:pt>
    <dgm:pt modelId="{0B541BE1-B156-4742-93C1-384EA712B95F}" type="parTrans" cxnId="{00829B49-92CD-442F-8349-8E3BAAADC532}">
      <dgm:prSet/>
      <dgm:spPr/>
      <dgm:t>
        <a:bodyPr/>
        <a:lstStyle/>
        <a:p>
          <a:endParaRPr lang="en-US"/>
        </a:p>
      </dgm:t>
    </dgm:pt>
    <dgm:pt modelId="{4352F12D-8F6D-4E88-9684-CC9FD8BBD58C}" type="sibTrans" cxnId="{00829B49-92CD-442F-8349-8E3BAAADC532}">
      <dgm:prSet/>
      <dgm:spPr/>
      <dgm:t>
        <a:bodyPr/>
        <a:lstStyle/>
        <a:p>
          <a:endParaRPr lang="en-US"/>
        </a:p>
      </dgm:t>
    </dgm:pt>
    <dgm:pt modelId="{23863D4C-93AF-4A3B-A5E5-25FC3D7D22F1}">
      <dgm:prSet/>
      <dgm:spPr/>
      <dgm:t>
        <a:bodyPr/>
        <a:lstStyle/>
        <a:p>
          <a:r>
            <a:rPr lang="en-US"/>
            <a:t>Chair of ADPH London (Director of Public Health in a London borough)</a:t>
          </a:r>
        </a:p>
      </dgm:t>
    </dgm:pt>
    <dgm:pt modelId="{6B28A8CE-740D-411A-B329-6F2179B7FE6E}" type="parTrans" cxnId="{9460C1D0-DD5E-40B7-A3A7-FB6D962DF964}">
      <dgm:prSet/>
      <dgm:spPr/>
      <dgm:t>
        <a:bodyPr/>
        <a:lstStyle/>
        <a:p>
          <a:endParaRPr lang="en-US"/>
        </a:p>
      </dgm:t>
    </dgm:pt>
    <dgm:pt modelId="{AFF9A66A-6BB8-450B-A861-076E9C258421}" type="sibTrans" cxnId="{9460C1D0-DD5E-40B7-A3A7-FB6D962DF964}">
      <dgm:prSet/>
      <dgm:spPr/>
      <dgm:t>
        <a:bodyPr/>
        <a:lstStyle/>
        <a:p>
          <a:endParaRPr lang="en-US"/>
        </a:p>
      </dgm:t>
    </dgm:pt>
    <dgm:pt modelId="{53E89AE3-AB9A-4028-A3A1-1DB4ACAC134B}">
      <dgm:prSet/>
      <dgm:spPr/>
      <dgm:t>
        <a:bodyPr/>
        <a:lstStyle/>
        <a:p>
          <a:r>
            <a:rPr lang="en-US" i="1"/>
            <a:t>Secondees, trainees or Contractors working on the programme but based in other boroughs</a:t>
          </a:r>
        </a:p>
      </dgm:t>
    </dgm:pt>
    <dgm:pt modelId="{37B80177-BD82-433C-8087-0DB38E0AC328}" type="parTrans" cxnId="{D40ED46D-9EF3-44E4-87B1-DBAE8CB9F7EB}">
      <dgm:prSet/>
      <dgm:spPr/>
      <dgm:t>
        <a:bodyPr/>
        <a:lstStyle/>
        <a:p>
          <a:endParaRPr lang="en-US"/>
        </a:p>
      </dgm:t>
    </dgm:pt>
    <dgm:pt modelId="{8D055AA9-A4A2-4BD5-AF8B-E3F350C09E5F}" type="sibTrans" cxnId="{D40ED46D-9EF3-44E4-87B1-DBAE8CB9F7EB}">
      <dgm:prSet/>
      <dgm:spPr/>
      <dgm:t>
        <a:bodyPr/>
        <a:lstStyle/>
        <a:p>
          <a:endParaRPr lang="en-US"/>
        </a:p>
      </dgm:t>
    </dgm:pt>
    <dgm:pt modelId="{FB581EB3-473B-4992-8BD0-CC0B2092CBBE}">
      <dgm:prSet/>
      <dgm:spPr/>
      <dgm:t>
        <a:bodyPr/>
        <a:lstStyle/>
        <a:p>
          <a:r>
            <a:rPr lang="en-US"/>
            <a:t>Public Health Strategist &amp; Improvement Lead (PO6)</a:t>
          </a:r>
        </a:p>
      </dgm:t>
    </dgm:pt>
    <dgm:pt modelId="{8CF76D0D-461D-4C33-944C-B09E9C3C741D}" type="parTrans" cxnId="{25D44E3E-8F94-4DAE-85DD-8522A7AE0AD4}">
      <dgm:prSet/>
      <dgm:spPr/>
      <dgm:t>
        <a:bodyPr/>
        <a:lstStyle/>
        <a:p>
          <a:endParaRPr lang="en-US"/>
        </a:p>
      </dgm:t>
    </dgm:pt>
    <dgm:pt modelId="{DD0F944C-1219-4786-81D6-B00D5C3346E0}" type="sibTrans" cxnId="{25D44E3E-8F94-4DAE-85DD-8522A7AE0AD4}">
      <dgm:prSet/>
      <dgm:spPr/>
      <dgm:t>
        <a:bodyPr/>
        <a:lstStyle/>
        <a:p>
          <a:endParaRPr lang="en-US"/>
        </a:p>
      </dgm:t>
    </dgm:pt>
    <dgm:pt modelId="{315D2906-A380-4248-AD23-A8EE6C2E420C}">
      <dgm:prSet/>
      <dgm:spPr/>
      <dgm:t>
        <a:bodyPr/>
        <a:lstStyle/>
        <a:p>
          <a:r>
            <a:rPr lang="en-US"/>
            <a:t>Programme Support Officer (SO1-PO1)</a:t>
          </a:r>
        </a:p>
      </dgm:t>
    </dgm:pt>
    <dgm:pt modelId="{A38A7DAE-5FEE-419E-AA68-3A632F1EE445}" type="parTrans" cxnId="{D57BCAC8-6832-4C55-8793-6F1D01820502}">
      <dgm:prSet/>
      <dgm:spPr/>
    </dgm:pt>
    <dgm:pt modelId="{E3004853-D654-436D-A812-D67B968C2575}" type="sibTrans" cxnId="{D57BCAC8-6832-4C55-8793-6F1D01820502}">
      <dgm:prSet/>
      <dgm:spPr/>
    </dgm:pt>
    <dgm:pt modelId="{2CD9A2DD-E016-4D78-9C9C-168D5F72EC05}">
      <dgm:prSet/>
      <dgm:spPr>
        <a:solidFill>
          <a:schemeClr val="accent2">
            <a:lumMod val="75000"/>
          </a:schemeClr>
        </a:solidFill>
      </dgm:spPr>
      <dgm:t>
        <a:bodyPr/>
        <a:lstStyle/>
        <a:p>
          <a:r>
            <a:rPr lang="en-US"/>
            <a:t>Public Health Strategist &amp; Improvement Lead (PO6)</a:t>
          </a:r>
        </a:p>
      </dgm:t>
    </dgm:pt>
    <dgm:pt modelId="{551C1314-6649-476B-8750-E4A1E0E1E1F5}" type="parTrans" cxnId="{F532F90A-9912-472E-8909-C0BB8E681E8A}">
      <dgm:prSet/>
      <dgm:spPr/>
      <dgm:t>
        <a:bodyPr/>
        <a:lstStyle/>
        <a:p>
          <a:endParaRPr lang="en-US"/>
        </a:p>
      </dgm:t>
    </dgm:pt>
    <dgm:pt modelId="{815DBAE5-176C-4B54-8E6F-6B53D6ADA410}" type="sibTrans" cxnId="{F532F90A-9912-472E-8909-C0BB8E681E8A}">
      <dgm:prSet/>
      <dgm:spPr/>
      <dgm:t>
        <a:bodyPr/>
        <a:lstStyle/>
        <a:p>
          <a:endParaRPr lang="en-US"/>
        </a:p>
      </dgm:t>
    </dgm:pt>
    <dgm:pt modelId="{C5328856-81AD-4F50-8D90-11B0986BEB3A}" type="pres">
      <dgm:prSet presAssocID="{781C55BB-1471-40B9-99E0-D503B99B7AA6}" presName="hierChild1" presStyleCnt="0">
        <dgm:presLayoutVars>
          <dgm:orgChart val="1"/>
          <dgm:chPref val="1"/>
          <dgm:dir val="rev"/>
          <dgm:animOne val="branch"/>
          <dgm:animLvl val="lvl"/>
          <dgm:resizeHandles/>
        </dgm:presLayoutVars>
      </dgm:prSet>
      <dgm:spPr/>
      <dgm:t>
        <a:bodyPr/>
        <a:lstStyle/>
        <a:p>
          <a:endParaRPr lang="en-US"/>
        </a:p>
      </dgm:t>
    </dgm:pt>
    <dgm:pt modelId="{003BB450-A3DC-4B84-87B8-8762EA729E94}" type="pres">
      <dgm:prSet presAssocID="{23863D4C-93AF-4A3B-A5E5-25FC3D7D22F1}" presName="hierRoot1" presStyleCnt="0">
        <dgm:presLayoutVars>
          <dgm:hierBranch val="init"/>
        </dgm:presLayoutVars>
      </dgm:prSet>
      <dgm:spPr/>
    </dgm:pt>
    <dgm:pt modelId="{84EB3365-95CB-42F9-8597-745487DA0B50}" type="pres">
      <dgm:prSet presAssocID="{23863D4C-93AF-4A3B-A5E5-25FC3D7D22F1}" presName="rootComposite1" presStyleCnt="0"/>
      <dgm:spPr/>
    </dgm:pt>
    <dgm:pt modelId="{37C2CAE8-C9B5-474E-84AD-1FC493DC1E69}" type="pres">
      <dgm:prSet presAssocID="{23863D4C-93AF-4A3B-A5E5-25FC3D7D22F1}" presName="rootText1" presStyleLbl="node0" presStyleIdx="0" presStyleCnt="1">
        <dgm:presLayoutVars>
          <dgm:chPref val="3"/>
        </dgm:presLayoutVars>
      </dgm:prSet>
      <dgm:spPr/>
      <dgm:t>
        <a:bodyPr/>
        <a:lstStyle/>
        <a:p>
          <a:endParaRPr lang="en-US"/>
        </a:p>
      </dgm:t>
    </dgm:pt>
    <dgm:pt modelId="{B3E7252B-E1E5-4A28-A730-25C212DE2350}" type="pres">
      <dgm:prSet presAssocID="{23863D4C-93AF-4A3B-A5E5-25FC3D7D22F1}" presName="rootConnector1" presStyleLbl="node1" presStyleIdx="0" presStyleCnt="0"/>
      <dgm:spPr/>
      <dgm:t>
        <a:bodyPr/>
        <a:lstStyle/>
        <a:p>
          <a:endParaRPr lang="en-US"/>
        </a:p>
      </dgm:t>
    </dgm:pt>
    <dgm:pt modelId="{68972C87-DF15-4879-9687-AF2750936A46}" type="pres">
      <dgm:prSet presAssocID="{23863D4C-93AF-4A3B-A5E5-25FC3D7D22F1}" presName="hierChild2" presStyleCnt="0"/>
      <dgm:spPr/>
    </dgm:pt>
    <dgm:pt modelId="{A2B01476-E81F-44BB-BA5B-9436B11ACAF1}" type="pres">
      <dgm:prSet presAssocID="{0B541BE1-B156-4742-93C1-384EA712B95F}" presName="Name37" presStyleLbl="parChTrans1D2" presStyleIdx="0" presStyleCnt="1"/>
      <dgm:spPr/>
      <dgm:t>
        <a:bodyPr/>
        <a:lstStyle/>
        <a:p>
          <a:endParaRPr lang="en-US"/>
        </a:p>
      </dgm:t>
    </dgm:pt>
    <dgm:pt modelId="{9EF48210-5BCC-4D7B-8BEC-25DAA739C97F}" type="pres">
      <dgm:prSet presAssocID="{62E6FCAB-A4B5-4123-8273-85958A2B26ED}" presName="hierRoot2" presStyleCnt="0">
        <dgm:presLayoutVars>
          <dgm:hierBranch/>
        </dgm:presLayoutVars>
      </dgm:prSet>
      <dgm:spPr/>
    </dgm:pt>
    <dgm:pt modelId="{B6B6D027-18A4-40AA-9189-AB51C0C61FE3}" type="pres">
      <dgm:prSet presAssocID="{62E6FCAB-A4B5-4123-8273-85958A2B26ED}" presName="rootComposite" presStyleCnt="0"/>
      <dgm:spPr/>
    </dgm:pt>
    <dgm:pt modelId="{8682C3E0-AC1E-4F04-8535-A9AE693FD708}" type="pres">
      <dgm:prSet presAssocID="{62E6FCAB-A4B5-4123-8273-85958A2B26ED}" presName="rootText" presStyleLbl="node2" presStyleIdx="0" presStyleCnt="1">
        <dgm:presLayoutVars>
          <dgm:chPref val="3"/>
        </dgm:presLayoutVars>
      </dgm:prSet>
      <dgm:spPr/>
      <dgm:t>
        <a:bodyPr/>
        <a:lstStyle/>
        <a:p>
          <a:endParaRPr lang="en-US"/>
        </a:p>
      </dgm:t>
    </dgm:pt>
    <dgm:pt modelId="{E72E3806-AE97-4974-8135-826259347CBF}" type="pres">
      <dgm:prSet presAssocID="{62E6FCAB-A4B5-4123-8273-85958A2B26ED}" presName="rootConnector" presStyleLbl="node2" presStyleIdx="0" presStyleCnt="1"/>
      <dgm:spPr/>
      <dgm:t>
        <a:bodyPr/>
        <a:lstStyle/>
        <a:p>
          <a:endParaRPr lang="en-US"/>
        </a:p>
      </dgm:t>
    </dgm:pt>
    <dgm:pt modelId="{EB256861-2F30-4E16-B7F3-F9A02FC6EE63}" type="pres">
      <dgm:prSet presAssocID="{62E6FCAB-A4B5-4123-8273-85958A2B26ED}" presName="hierChild4" presStyleCnt="0"/>
      <dgm:spPr/>
    </dgm:pt>
    <dgm:pt modelId="{386DBAFD-4F90-4232-8E69-B79B5796ACE6}" type="pres">
      <dgm:prSet presAssocID="{37B80177-BD82-433C-8087-0DB38E0AC328}" presName="Name35" presStyleLbl="parChTrans1D3" presStyleIdx="0" presStyleCnt="4"/>
      <dgm:spPr/>
      <dgm:t>
        <a:bodyPr/>
        <a:lstStyle/>
        <a:p>
          <a:endParaRPr lang="en-US"/>
        </a:p>
      </dgm:t>
    </dgm:pt>
    <dgm:pt modelId="{D9441731-0722-454B-812A-EFE61D3150B5}" type="pres">
      <dgm:prSet presAssocID="{53E89AE3-AB9A-4028-A3A1-1DB4ACAC134B}" presName="hierRoot2" presStyleCnt="0">
        <dgm:presLayoutVars>
          <dgm:hierBranch/>
        </dgm:presLayoutVars>
      </dgm:prSet>
      <dgm:spPr/>
    </dgm:pt>
    <dgm:pt modelId="{EAE1E6C9-7B11-4A11-8D88-0C5B9A7DF554}" type="pres">
      <dgm:prSet presAssocID="{53E89AE3-AB9A-4028-A3A1-1DB4ACAC134B}" presName="rootComposite" presStyleCnt="0"/>
      <dgm:spPr/>
    </dgm:pt>
    <dgm:pt modelId="{4C36CA54-068A-49BF-9D3A-BD5B592C1D0E}" type="pres">
      <dgm:prSet presAssocID="{53E89AE3-AB9A-4028-A3A1-1DB4ACAC134B}" presName="rootText" presStyleLbl="node3" presStyleIdx="0" presStyleCnt="4">
        <dgm:presLayoutVars>
          <dgm:chPref val="3"/>
        </dgm:presLayoutVars>
      </dgm:prSet>
      <dgm:spPr/>
      <dgm:t>
        <a:bodyPr/>
        <a:lstStyle/>
        <a:p>
          <a:endParaRPr lang="en-US"/>
        </a:p>
      </dgm:t>
    </dgm:pt>
    <dgm:pt modelId="{F7B1EA14-9691-4848-9653-77ADAE206934}" type="pres">
      <dgm:prSet presAssocID="{53E89AE3-AB9A-4028-A3A1-1DB4ACAC134B}" presName="rootConnector" presStyleLbl="node3" presStyleIdx="0" presStyleCnt="4"/>
      <dgm:spPr/>
      <dgm:t>
        <a:bodyPr/>
        <a:lstStyle/>
        <a:p>
          <a:endParaRPr lang="en-US"/>
        </a:p>
      </dgm:t>
    </dgm:pt>
    <dgm:pt modelId="{71ADD566-C6DB-4A3E-A9F3-FC70029903EE}" type="pres">
      <dgm:prSet presAssocID="{53E89AE3-AB9A-4028-A3A1-1DB4ACAC134B}" presName="hierChild4" presStyleCnt="0"/>
      <dgm:spPr/>
    </dgm:pt>
    <dgm:pt modelId="{A09E537D-DEF8-4F26-A58B-1DBD0FC1302B}" type="pres">
      <dgm:prSet presAssocID="{53E89AE3-AB9A-4028-A3A1-1DB4ACAC134B}" presName="hierChild5" presStyleCnt="0"/>
      <dgm:spPr/>
    </dgm:pt>
    <dgm:pt modelId="{B7315FFB-6162-4CD5-AF1A-10276757F1FA}" type="pres">
      <dgm:prSet presAssocID="{A38A7DAE-5FEE-419E-AA68-3A632F1EE445}" presName="Name35" presStyleLbl="parChTrans1D3" presStyleIdx="1" presStyleCnt="4"/>
      <dgm:spPr/>
    </dgm:pt>
    <dgm:pt modelId="{727685BE-1B9E-40D1-B4D1-B4A1BAD7B56E}" type="pres">
      <dgm:prSet presAssocID="{315D2906-A380-4248-AD23-A8EE6C2E420C}" presName="hierRoot2" presStyleCnt="0">
        <dgm:presLayoutVars>
          <dgm:hierBranch val="init"/>
        </dgm:presLayoutVars>
      </dgm:prSet>
      <dgm:spPr/>
    </dgm:pt>
    <dgm:pt modelId="{E2E321DA-6283-4AB0-BA69-79653D167DD4}" type="pres">
      <dgm:prSet presAssocID="{315D2906-A380-4248-AD23-A8EE6C2E420C}" presName="rootComposite" presStyleCnt="0"/>
      <dgm:spPr/>
    </dgm:pt>
    <dgm:pt modelId="{9F8CA4C4-C282-4E0D-9F34-233B99083E2A}" type="pres">
      <dgm:prSet presAssocID="{315D2906-A380-4248-AD23-A8EE6C2E420C}" presName="rootText" presStyleLbl="node3" presStyleIdx="1" presStyleCnt="4">
        <dgm:presLayoutVars>
          <dgm:chPref val="3"/>
        </dgm:presLayoutVars>
      </dgm:prSet>
      <dgm:spPr/>
      <dgm:t>
        <a:bodyPr/>
        <a:lstStyle/>
        <a:p>
          <a:endParaRPr lang="en-US"/>
        </a:p>
      </dgm:t>
    </dgm:pt>
    <dgm:pt modelId="{56772871-D7C3-4549-BD77-E0EA2A2EFAC5}" type="pres">
      <dgm:prSet presAssocID="{315D2906-A380-4248-AD23-A8EE6C2E420C}" presName="rootConnector" presStyleLbl="node3" presStyleIdx="1" presStyleCnt="4"/>
      <dgm:spPr/>
      <dgm:t>
        <a:bodyPr/>
        <a:lstStyle/>
        <a:p>
          <a:endParaRPr lang="en-US"/>
        </a:p>
      </dgm:t>
    </dgm:pt>
    <dgm:pt modelId="{F3B7DDED-6B08-4709-9AED-3E056D7CE31D}" type="pres">
      <dgm:prSet presAssocID="{315D2906-A380-4248-AD23-A8EE6C2E420C}" presName="hierChild4" presStyleCnt="0"/>
      <dgm:spPr/>
    </dgm:pt>
    <dgm:pt modelId="{D7254BA7-B1C6-4162-8F55-A80058FECD4D}" type="pres">
      <dgm:prSet presAssocID="{315D2906-A380-4248-AD23-A8EE6C2E420C}" presName="hierChild5" presStyleCnt="0"/>
      <dgm:spPr/>
    </dgm:pt>
    <dgm:pt modelId="{86318C65-A89E-4452-A1E1-87F9CEE3B528}" type="pres">
      <dgm:prSet presAssocID="{551C1314-6649-476B-8750-E4A1E0E1E1F5}" presName="Name35" presStyleLbl="parChTrans1D3" presStyleIdx="2" presStyleCnt="4"/>
      <dgm:spPr/>
      <dgm:t>
        <a:bodyPr/>
        <a:lstStyle/>
        <a:p>
          <a:endParaRPr lang="en-US"/>
        </a:p>
      </dgm:t>
    </dgm:pt>
    <dgm:pt modelId="{3E7C0B53-74A5-41C0-8BF7-52F561A29D87}" type="pres">
      <dgm:prSet presAssocID="{2CD9A2DD-E016-4D78-9C9C-168D5F72EC05}" presName="hierRoot2" presStyleCnt="0">
        <dgm:presLayoutVars>
          <dgm:hierBranch val="init"/>
        </dgm:presLayoutVars>
      </dgm:prSet>
      <dgm:spPr/>
    </dgm:pt>
    <dgm:pt modelId="{99B70A70-31C2-4EF6-A1F5-C11777936FED}" type="pres">
      <dgm:prSet presAssocID="{2CD9A2DD-E016-4D78-9C9C-168D5F72EC05}" presName="rootComposite" presStyleCnt="0"/>
      <dgm:spPr/>
    </dgm:pt>
    <dgm:pt modelId="{3B942469-E740-45AA-A898-8162C6639F35}" type="pres">
      <dgm:prSet presAssocID="{2CD9A2DD-E016-4D78-9C9C-168D5F72EC05}" presName="rootText" presStyleLbl="node3" presStyleIdx="2" presStyleCnt="4">
        <dgm:presLayoutVars>
          <dgm:chPref val="3"/>
        </dgm:presLayoutVars>
      </dgm:prSet>
      <dgm:spPr/>
      <dgm:t>
        <a:bodyPr/>
        <a:lstStyle/>
        <a:p>
          <a:endParaRPr lang="en-US"/>
        </a:p>
      </dgm:t>
    </dgm:pt>
    <dgm:pt modelId="{D1699DB2-7047-4F37-A57D-D8C5CF255C13}" type="pres">
      <dgm:prSet presAssocID="{2CD9A2DD-E016-4D78-9C9C-168D5F72EC05}" presName="rootConnector" presStyleLbl="node3" presStyleIdx="2" presStyleCnt="4"/>
      <dgm:spPr/>
      <dgm:t>
        <a:bodyPr/>
        <a:lstStyle/>
        <a:p>
          <a:endParaRPr lang="en-US"/>
        </a:p>
      </dgm:t>
    </dgm:pt>
    <dgm:pt modelId="{F2B039D0-40C6-4A2F-89AC-7D2AB95429CD}" type="pres">
      <dgm:prSet presAssocID="{2CD9A2DD-E016-4D78-9C9C-168D5F72EC05}" presName="hierChild4" presStyleCnt="0"/>
      <dgm:spPr/>
    </dgm:pt>
    <dgm:pt modelId="{B4888CBE-C08A-43D7-ACD5-957CDF550C65}" type="pres">
      <dgm:prSet presAssocID="{2CD9A2DD-E016-4D78-9C9C-168D5F72EC05}" presName="hierChild5" presStyleCnt="0"/>
      <dgm:spPr/>
    </dgm:pt>
    <dgm:pt modelId="{1E21D688-A5A4-4B1C-80C4-C7B0B2105F4A}" type="pres">
      <dgm:prSet presAssocID="{8CF76D0D-461D-4C33-944C-B09E9C3C741D}" presName="Name35" presStyleLbl="parChTrans1D3" presStyleIdx="3" presStyleCnt="4"/>
      <dgm:spPr/>
      <dgm:t>
        <a:bodyPr/>
        <a:lstStyle/>
        <a:p>
          <a:endParaRPr lang="en-US"/>
        </a:p>
      </dgm:t>
    </dgm:pt>
    <dgm:pt modelId="{9D208719-0B38-4B3A-A5A8-F685C1E1A5C3}" type="pres">
      <dgm:prSet presAssocID="{FB581EB3-473B-4992-8BD0-CC0B2092CBBE}" presName="hierRoot2" presStyleCnt="0">
        <dgm:presLayoutVars>
          <dgm:hierBranch val="init"/>
        </dgm:presLayoutVars>
      </dgm:prSet>
      <dgm:spPr/>
    </dgm:pt>
    <dgm:pt modelId="{7DF62921-96A7-4BCC-8CE4-2D4A88C1FE8B}" type="pres">
      <dgm:prSet presAssocID="{FB581EB3-473B-4992-8BD0-CC0B2092CBBE}" presName="rootComposite" presStyleCnt="0"/>
      <dgm:spPr/>
    </dgm:pt>
    <dgm:pt modelId="{F18506E3-3943-43B4-B8AC-0B5408433855}" type="pres">
      <dgm:prSet presAssocID="{FB581EB3-473B-4992-8BD0-CC0B2092CBBE}" presName="rootText" presStyleLbl="node3" presStyleIdx="3" presStyleCnt="4">
        <dgm:presLayoutVars>
          <dgm:chPref val="3"/>
        </dgm:presLayoutVars>
      </dgm:prSet>
      <dgm:spPr/>
      <dgm:t>
        <a:bodyPr/>
        <a:lstStyle/>
        <a:p>
          <a:endParaRPr lang="en-US"/>
        </a:p>
      </dgm:t>
    </dgm:pt>
    <dgm:pt modelId="{707795BA-EA31-4ADF-8AD0-3045A5C89A52}" type="pres">
      <dgm:prSet presAssocID="{FB581EB3-473B-4992-8BD0-CC0B2092CBBE}" presName="rootConnector" presStyleLbl="node3" presStyleIdx="3" presStyleCnt="4"/>
      <dgm:spPr/>
      <dgm:t>
        <a:bodyPr/>
        <a:lstStyle/>
        <a:p>
          <a:endParaRPr lang="en-US"/>
        </a:p>
      </dgm:t>
    </dgm:pt>
    <dgm:pt modelId="{52002504-FCCC-4B00-8121-044BEDF37A25}" type="pres">
      <dgm:prSet presAssocID="{FB581EB3-473B-4992-8BD0-CC0B2092CBBE}" presName="hierChild4" presStyleCnt="0"/>
      <dgm:spPr/>
    </dgm:pt>
    <dgm:pt modelId="{5EF9AABF-E9C9-4380-8BFD-4E0E30245CFA}" type="pres">
      <dgm:prSet presAssocID="{FB581EB3-473B-4992-8BD0-CC0B2092CBBE}" presName="hierChild5" presStyleCnt="0"/>
      <dgm:spPr/>
    </dgm:pt>
    <dgm:pt modelId="{882C20B0-82B1-42B0-A369-9706C1C4821F}" type="pres">
      <dgm:prSet presAssocID="{62E6FCAB-A4B5-4123-8273-85958A2B26ED}" presName="hierChild5" presStyleCnt="0"/>
      <dgm:spPr/>
    </dgm:pt>
    <dgm:pt modelId="{BCAE8EAE-2C63-45B3-9256-31053D908FFF}" type="pres">
      <dgm:prSet presAssocID="{23863D4C-93AF-4A3B-A5E5-25FC3D7D22F1}" presName="hierChild3" presStyleCnt="0"/>
      <dgm:spPr/>
    </dgm:pt>
  </dgm:ptLst>
  <dgm:cxnLst>
    <dgm:cxn modelId="{23EB2B7C-9D3A-4C24-888B-464A4F70531C}" type="presOf" srcId="{315D2906-A380-4248-AD23-A8EE6C2E420C}" destId="{9F8CA4C4-C282-4E0D-9F34-233B99083E2A}" srcOrd="0" destOrd="0" presId="urn:microsoft.com/office/officeart/2005/8/layout/orgChart1"/>
    <dgm:cxn modelId="{5138D9B3-2B9D-4C4A-BA58-6BB7F01E98BE}" type="presOf" srcId="{FB581EB3-473B-4992-8BD0-CC0B2092CBBE}" destId="{F18506E3-3943-43B4-B8AC-0B5408433855}" srcOrd="0" destOrd="0" presId="urn:microsoft.com/office/officeart/2005/8/layout/orgChart1"/>
    <dgm:cxn modelId="{CB7A2B4C-76EF-4E96-84F4-07CD660E2682}" type="presOf" srcId="{A38A7DAE-5FEE-419E-AA68-3A632F1EE445}" destId="{B7315FFB-6162-4CD5-AF1A-10276757F1FA}" srcOrd="0" destOrd="0" presId="urn:microsoft.com/office/officeart/2005/8/layout/orgChart1"/>
    <dgm:cxn modelId="{00829B49-92CD-442F-8349-8E3BAAADC532}" srcId="{23863D4C-93AF-4A3B-A5E5-25FC3D7D22F1}" destId="{62E6FCAB-A4B5-4123-8273-85958A2B26ED}" srcOrd="0" destOrd="0" parTransId="{0B541BE1-B156-4742-93C1-384EA712B95F}" sibTransId="{4352F12D-8F6D-4E88-9684-CC9FD8BBD58C}"/>
    <dgm:cxn modelId="{F532F90A-9912-472E-8909-C0BB8E681E8A}" srcId="{62E6FCAB-A4B5-4123-8273-85958A2B26ED}" destId="{2CD9A2DD-E016-4D78-9C9C-168D5F72EC05}" srcOrd="2" destOrd="0" parTransId="{551C1314-6649-476B-8750-E4A1E0E1E1F5}" sibTransId="{815DBAE5-176C-4B54-8E6F-6B53D6ADA410}"/>
    <dgm:cxn modelId="{311BE8BA-B63F-4E07-9626-2EDA7277446B}" type="presOf" srcId="{551C1314-6649-476B-8750-E4A1E0E1E1F5}" destId="{86318C65-A89E-4452-A1E1-87F9CEE3B528}" srcOrd="0" destOrd="0" presId="urn:microsoft.com/office/officeart/2005/8/layout/orgChart1"/>
    <dgm:cxn modelId="{89C0E718-B419-47A1-9BD9-0D23C5DC875A}" type="presOf" srcId="{781C55BB-1471-40B9-99E0-D503B99B7AA6}" destId="{C5328856-81AD-4F50-8D90-11B0986BEB3A}" srcOrd="0" destOrd="0" presId="urn:microsoft.com/office/officeart/2005/8/layout/orgChart1"/>
    <dgm:cxn modelId="{7CB00EA8-A0EE-405F-B168-05B0AA8F7306}" type="presOf" srcId="{FB581EB3-473B-4992-8BD0-CC0B2092CBBE}" destId="{707795BA-EA31-4ADF-8AD0-3045A5C89A52}" srcOrd="1" destOrd="0" presId="urn:microsoft.com/office/officeart/2005/8/layout/orgChart1"/>
    <dgm:cxn modelId="{16629A21-9255-4A88-B1A9-0AE07B4B98E4}" type="presOf" srcId="{53E89AE3-AB9A-4028-A3A1-1DB4ACAC134B}" destId="{4C36CA54-068A-49BF-9D3A-BD5B592C1D0E}" srcOrd="0" destOrd="0" presId="urn:microsoft.com/office/officeart/2005/8/layout/orgChart1"/>
    <dgm:cxn modelId="{01ADF1B1-2B39-4BC1-B0DE-D4DB29148975}" type="presOf" srcId="{2CD9A2DD-E016-4D78-9C9C-168D5F72EC05}" destId="{3B942469-E740-45AA-A898-8162C6639F35}" srcOrd="0" destOrd="0" presId="urn:microsoft.com/office/officeart/2005/8/layout/orgChart1"/>
    <dgm:cxn modelId="{372C2141-14FC-40A8-8210-404FCCB86022}" type="presOf" srcId="{23863D4C-93AF-4A3B-A5E5-25FC3D7D22F1}" destId="{37C2CAE8-C9B5-474E-84AD-1FC493DC1E69}" srcOrd="0" destOrd="0" presId="urn:microsoft.com/office/officeart/2005/8/layout/orgChart1"/>
    <dgm:cxn modelId="{82C736F6-A749-477A-88AF-B8D327F9F229}" type="presOf" srcId="{23863D4C-93AF-4A3B-A5E5-25FC3D7D22F1}" destId="{B3E7252B-E1E5-4A28-A730-25C212DE2350}" srcOrd="1" destOrd="0" presId="urn:microsoft.com/office/officeart/2005/8/layout/orgChart1"/>
    <dgm:cxn modelId="{25D44E3E-8F94-4DAE-85DD-8522A7AE0AD4}" srcId="{62E6FCAB-A4B5-4123-8273-85958A2B26ED}" destId="{FB581EB3-473B-4992-8BD0-CC0B2092CBBE}" srcOrd="3" destOrd="0" parTransId="{8CF76D0D-461D-4C33-944C-B09E9C3C741D}" sibTransId="{DD0F944C-1219-4786-81D6-B00D5C3346E0}"/>
    <dgm:cxn modelId="{9460C1D0-DD5E-40B7-A3A7-FB6D962DF964}" srcId="{781C55BB-1471-40B9-99E0-D503B99B7AA6}" destId="{23863D4C-93AF-4A3B-A5E5-25FC3D7D22F1}" srcOrd="0" destOrd="0" parTransId="{6B28A8CE-740D-411A-B329-6F2179B7FE6E}" sibTransId="{AFF9A66A-6BB8-450B-A861-076E9C258421}"/>
    <dgm:cxn modelId="{1F5B3F6B-5069-4093-A35D-B57C6DBCDE99}" type="presOf" srcId="{53E89AE3-AB9A-4028-A3A1-1DB4ACAC134B}" destId="{F7B1EA14-9691-4848-9653-77ADAE206934}" srcOrd="1" destOrd="0" presId="urn:microsoft.com/office/officeart/2005/8/layout/orgChart1"/>
    <dgm:cxn modelId="{1BB4BE88-9799-42A3-9ABA-2D750FB75112}" type="presOf" srcId="{2CD9A2DD-E016-4D78-9C9C-168D5F72EC05}" destId="{D1699DB2-7047-4F37-A57D-D8C5CF255C13}" srcOrd="1" destOrd="0" presId="urn:microsoft.com/office/officeart/2005/8/layout/orgChart1"/>
    <dgm:cxn modelId="{D40ED46D-9EF3-44E4-87B1-DBAE8CB9F7EB}" srcId="{62E6FCAB-A4B5-4123-8273-85958A2B26ED}" destId="{53E89AE3-AB9A-4028-A3A1-1DB4ACAC134B}" srcOrd="0" destOrd="0" parTransId="{37B80177-BD82-433C-8087-0DB38E0AC328}" sibTransId="{8D055AA9-A4A2-4BD5-AF8B-E3F350C09E5F}"/>
    <dgm:cxn modelId="{CA07E70D-4FC0-4092-AC91-0840DCF2D82C}" type="presOf" srcId="{0B541BE1-B156-4742-93C1-384EA712B95F}" destId="{A2B01476-E81F-44BB-BA5B-9436B11ACAF1}" srcOrd="0" destOrd="0" presId="urn:microsoft.com/office/officeart/2005/8/layout/orgChart1"/>
    <dgm:cxn modelId="{853B2917-95BA-46C7-80F0-E8259D00751D}" type="presOf" srcId="{8CF76D0D-461D-4C33-944C-B09E9C3C741D}" destId="{1E21D688-A5A4-4B1C-80C4-C7B0B2105F4A}" srcOrd="0" destOrd="0" presId="urn:microsoft.com/office/officeart/2005/8/layout/orgChart1"/>
    <dgm:cxn modelId="{DCAD3D9F-34A8-4372-95EB-DBD465D85E4D}" type="presOf" srcId="{62E6FCAB-A4B5-4123-8273-85958A2B26ED}" destId="{E72E3806-AE97-4974-8135-826259347CBF}" srcOrd="1" destOrd="0" presId="urn:microsoft.com/office/officeart/2005/8/layout/orgChart1"/>
    <dgm:cxn modelId="{D57BCAC8-6832-4C55-8793-6F1D01820502}" srcId="{62E6FCAB-A4B5-4123-8273-85958A2B26ED}" destId="{315D2906-A380-4248-AD23-A8EE6C2E420C}" srcOrd="1" destOrd="0" parTransId="{A38A7DAE-5FEE-419E-AA68-3A632F1EE445}" sibTransId="{E3004853-D654-436D-A812-D67B968C2575}"/>
    <dgm:cxn modelId="{6FB774A4-C5C4-467B-A797-C2875FEE268D}" type="presOf" srcId="{315D2906-A380-4248-AD23-A8EE6C2E420C}" destId="{56772871-D7C3-4549-BD77-E0EA2A2EFAC5}" srcOrd="1" destOrd="0" presId="urn:microsoft.com/office/officeart/2005/8/layout/orgChart1"/>
    <dgm:cxn modelId="{C07FBF49-04FF-4CF3-8281-BF8391683E89}" type="presOf" srcId="{62E6FCAB-A4B5-4123-8273-85958A2B26ED}" destId="{8682C3E0-AC1E-4F04-8535-A9AE693FD708}" srcOrd="0" destOrd="0" presId="urn:microsoft.com/office/officeart/2005/8/layout/orgChart1"/>
    <dgm:cxn modelId="{A0BFC281-3877-4CB4-A173-DB1C7E1E5E63}" type="presOf" srcId="{37B80177-BD82-433C-8087-0DB38E0AC328}" destId="{386DBAFD-4F90-4232-8E69-B79B5796ACE6}" srcOrd="0" destOrd="0" presId="urn:microsoft.com/office/officeart/2005/8/layout/orgChart1"/>
    <dgm:cxn modelId="{C733FE8B-83C1-4609-A227-DA5F4CCAD061}" type="presParOf" srcId="{C5328856-81AD-4F50-8D90-11B0986BEB3A}" destId="{003BB450-A3DC-4B84-87B8-8762EA729E94}" srcOrd="0" destOrd="0" presId="urn:microsoft.com/office/officeart/2005/8/layout/orgChart1"/>
    <dgm:cxn modelId="{B4172F35-57AB-45DF-BABE-1F5DEC8E3ABC}" type="presParOf" srcId="{003BB450-A3DC-4B84-87B8-8762EA729E94}" destId="{84EB3365-95CB-42F9-8597-745487DA0B50}" srcOrd="0" destOrd="0" presId="urn:microsoft.com/office/officeart/2005/8/layout/orgChart1"/>
    <dgm:cxn modelId="{B0EF6BDA-0578-443B-BB52-2F9B79BDC8B3}" type="presParOf" srcId="{84EB3365-95CB-42F9-8597-745487DA0B50}" destId="{37C2CAE8-C9B5-474E-84AD-1FC493DC1E69}" srcOrd="0" destOrd="0" presId="urn:microsoft.com/office/officeart/2005/8/layout/orgChart1"/>
    <dgm:cxn modelId="{4BE3FAC9-D473-4915-8E22-AEAAE248DB11}" type="presParOf" srcId="{84EB3365-95CB-42F9-8597-745487DA0B50}" destId="{B3E7252B-E1E5-4A28-A730-25C212DE2350}" srcOrd="1" destOrd="0" presId="urn:microsoft.com/office/officeart/2005/8/layout/orgChart1"/>
    <dgm:cxn modelId="{D3B058DF-20A9-48F1-A7C6-311B36EE35B1}" type="presParOf" srcId="{003BB450-A3DC-4B84-87B8-8762EA729E94}" destId="{68972C87-DF15-4879-9687-AF2750936A46}" srcOrd="1" destOrd="0" presId="urn:microsoft.com/office/officeart/2005/8/layout/orgChart1"/>
    <dgm:cxn modelId="{891D7F81-49A8-4946-BB93-E8291AB6D992}" type="presParOf" srcId="{68972C87-DF15-4879-9687-AF2750936A46}" destId="{A2B01476-E81F-44BB-BA5B-9436B11ACAF1}" srcOrd="0" destOrd="0" presId="urn:microsoft.com/office/officeart/2005/8/layout/orgChart1"/>
    <dgm:cxn modelId="{08F68CDD-1CFF-4C15-8CBA-229205A7B21F}" type="presParOf" srcId="{68972C87-DF15-4879-9687-AF2750936A46}" destId="{9EF48210-5BCC-4D7B-8BEC-25DAA739C97F}" srcOrd="1" destOrd="0" presId="urn:microsoft.com/office/officeart/2005/8/layout/orgChart1"/>
    <dgm:cxn modelId="{376F9BAD-692A-4F79-A9FA-8776FF772D7A}" type="presParOf" srcId="{9EF48210-5BCC-4D7B-8BEC-25DAA739C97F}" destId="{B6B6D027-18A4-40AA-9189-AB51C0C61FE3}" srcOrd="0" destOrd="0" presId="urn:microsoft.com/office/officeart/2005/8/layout/orgChart1"/>
    <dgm:cxn modelId="{2168217C-D4F6-47CE-A357-D66639C5F3A9}" type="presParOf" srcId="{B6B6D027-18A4-40AA-9189-AB51C0C61FE3}" destId="{8682C3E0-AC1E-4F04-8535-A9AE693FD708}" srcOrd="0" destOrd="0" presId="urn:microsoft.com/office/officeart/2005/8/layout/orgChart1"/>
    <dgm:cxn modelId="{44C22AA6-3CC7-47ED-B9D1-340B5920F9E0}" type="presParOf" srcId="{B6B6D027-18A4-40AA-9189-AB51C0C61FE3}" destId="{E72E3806-AE97-4974-8135-826259347CBF}" srcOrd="1" destOrd="0" presId="urn:microsoft.com/office/officeart/2005/8/layout/orgChart1"/>
    <dgm:cxn modelId="{A565A662-58EB-4E5B-94C2-58BDF5FE69CB}" type="presParOf" srcId="{9EF48210-5BCC-4D7B-8BEC-25DAA739C97F}" destId="{EB256861-2F30-4E16-B7F3-F9A02FC6EE63}" srcOrd="1" destOrd="0" presId="urn:microsoft.com/office/officeart/2005/8/layout/orgChart1"/>
    <dgm:cxn modelId="{12796A9F-3E62-4599-B14B-05AC794BA666}" type="presParOf" srcId="{EB256861-2F30-4E16-B7F3-F9A02FC6EE63}" destId="{386DBAFD-4F90-4232-8E69-B79B5796ACE6}" srcOrd="0" destOrd="0" presId="urn:microsoft.com/office/officeart/2005/8/layout/orgChart1"/>
    <dgm:cxn modelId="{D9F188BD-94CD-44E4-A812-9411F9D49F7B}" type="presParOf" srcId="{EB256861-2F30-4E16-B7F3-F9A02FC6EE63}" destId="{D9441731-0722-454B-812A-EFE61D3150B5}" srcOrd="1" destOrd="0" presId="urn:microsoft.com/office/officeart/2005/8/layout/orgChart1"/>
    <dgm:cxn modelId="{C7699068-5D2D-4943-B20F-5AC3DFE700A2}" type="presParOf" srcId="{D9441731-0722-454B-812A-EFE61D3150B5}" destId="{EAE1E6C9-7B11-4A11-8D88-0C5B9A7DF554}" srcOrd="0" destOrd="0" presId="urn:microsoft.com/office/officeart/2005/8/layout/orgChart1"/>
    <dgm:cxn modelId="{877E5BC1-EA45-408B-80E1-E34046B8A8C6}" type="presParOf" srcId="{EAE1E6C9-7B11-4A11-8D88-0C5B9A7DF554}" destId="{4C36CA54-068A-49BF-9D3A-BD5B592C1D0E}" srcOrd="0" destOrd="0" presId="urn:microsoft.com/office/officeart/2005/8/layout/orgChart1"/>
    <dgm:cxn modelId="{27CAF0F0-127D-4F2F-8709-AE64A3C10EDC}" type="presParOf" srcId="{EAE1E6C9-7B11-4A11-8D88-0C5B9A7DF554}" destId="{F7B1EA14-9691-4848-9653-77ADAE206934}" srcOrd="1" destOrd="0" presId="urn:microsoft.com/office/officeart/2005/8/layout/orgChart1"/>
    <dgm:cxn modelId="{B34D1FA8-1649-4112-9AA8-0CE2EF514FB0}" type="presParOf" srcId="{D9441731-0722-454B-812A-EFE61D3150B5}" destId="{71ADD566-C6DB-4A3E-A9F3-FC70029903EE}" srcOrd="1" destOrd="0" presId="urn:microsoft.com/office/officeart/2005/8/layout/orgChart1"/>
    <dgm:cxn modelId="{7307D5F6-6060-442B-8DF3-96A9D1BF2760}" type="presParOf" srcId="{D9441731-0722-454B-812A-EFE61D3150B5}" destId="{A09E537D-DEF8-4F26-A58B-1DBD0FC1302B}" srcOrd="2" destOrd="0" presId="urn:microsoft.com/office/officeart/2005/8/layout/orgChart1"/>
    <dgm:cxn modelId="{FB106BD8-B919-407E-A45F-01419D32927D}" type="presParOf" srcId="{EB256861-2F30-4E16-B7F3-F9A02FC6EE63}" destId="{B7315FFB-6162-4CD5-AF1A-10276757F1FA}" srcOrd="2" destOrd="0" presId="urn:microsoft.com/office/officeart/2005/8/layout/orgChart1"/>
    <dgm:cxn modelId="{7D49ED8B-DC8A-4646-A3CC-5937FC43886A}" type="presParOf" srcId="{EB256861-2F30-4E16-B7F3-F9A02FC6EE63}" destId="{727685BE-1B9E-40D1-B4D1-B4A1BAD7B56E}" srcOrd="3" destOrd="0" presId="urn:microsoft.com/office/officeart/2005/8/layout/orgChart1"/>
    <dgm:cxn modelId="{BF2B807B-B64E-4F16-A71A-EA54450391C5}" type="presParOf" srcId="{727685BE-1B9E-40D1-B4D1-B4A1BAD7B56E}" destId="{E2E321DA-6283-4AB0-BA69-79653D167DD4}" srcOrd="0" destOrd="0" presId="urn:microsoft.com/office/officeart/2005/8/layout/orgChart1"/>
    <dgm:cxn modelId="{A4097343-BE62-4425-80BB-DF25A0E376AC}" type="presParOf" srcId="{E2E321DA-6283-4AB0-BA69-79653D167DD4}" destId="{9F8CA4C4-C282-4E0D-9F34-233B99083E2A}" srcOrd="0" destOrd="0" presId="urn:microsoft.com/office/officeart/2005/8/layout/orgChart1"/>
    <dgm:cxn modelId="{EE0DBB11-161B-4899-866F-4A333A13A2D6}" type="presParOf" srcId="{E2E321DA-6283-4AB0-BA69-79653D167DD4}" destId="{56772871-D7C3-4549-BD77-E0EA2A2EFAC5}" srcOrd="1" destOrd="0" presId="urn:microsoft.com/office/officeart/2005/8/layout/orgChart1"/>
    <dgm:cxn modelId="{5049CE5A-76AC-425E-865E-D7C2C54E577C}" type="presParOf" srcId="{727685BE-1B9E-40D1-B4D1-B4A1BAD7B56E}" destId="{F3B7DDED-6B08-4709-9AED-3E056D7CE31D}" srcOrd="1" destOrd="0" presId="urn:microsoft.com/office/officeart/2005/8/layout/orgChart1"/>
    <dgm:cxn modelId="{862E4142-D69E-450F-9E78-831FBF7207FD}" type="presParOf" srcId="{727685BE-1B9E-40D1-B4D1-B4A1BAD7B56E}" destId="{D7254BA7-B1C6-4162-8F55-A80058FECD4D}" srcOrd="2" destOrd="0" presId="urn:microsoft.com/office/officeart/2005/8/layout/orgChart1"/>
    <dgm:cxn modelId="{26A4F2B9-C5AF-4CFC-A617-BFA4C405E40C}" type="presParOf" srcId="{EB256861-2F30-4E16-B7F3-F9A02FC6EE63}" destId="{86318C65-A89E-4452-A1E1-87F9CEE3B528}" srcOrd="4" destOrd="0" presId="urn:microsoft.com/office/officeart/2005/8/layout/orgChart1"/>
    <dgm:cxn modelId="{1936B649-A7DD-469B-8275-DB87A45CB04B}" type="presParOf" srcId="{EB256861-2F30-4E16-B7F3-F9A02FC6EE63}" destId="{3E7C0B53-74A5-41C0-8BF7-52F561A29D87}" srcOrd="5" destOrd="0" presId="urn:microsoft.com/office/officeart/2005/8/layout/orgChart1"/>
    <dgm:cxn modelId="{84D14ACF-190A-45D7-A045-39F7BC6F8DB1}" type="presParOf" srcId="{3E7C0B53-74A5-41C0-8BF7-52F561A29D87}" destId="{99B70A70-31C2-4EF6-A1F5-C11777936FED}" srcOrd="0" destOrd="0" presId="urn:microsoft.com/office/officeart/2005/8/layout/orgChart1"/>
    <dgm:cxn modelId="{A4D87455-4142-4A9E-A222-A70FEB88F4A2}" type="presParOf" srcId="{99B70A70-31C2-4EF6-A1F5-C11777936FED}" destId="{3B942469-E740-45AA-A898-8162C6639F35}" srcOrd="0" destOrd="0" presId="urn:microsoft.com/office/officeart/2005/8/layout/orgChart1"/>
    <dgm:cxn modelId="{03162ADD-6E74-43E4-8F4D-80D5014094BE}" type="presParOf" srcId="{99B70A70-31C2-4EF6-A1F5-C11777936FED}" destId="{D1699DB2-7047-4F37-A57D-D8C5CF255C13}" srcOrd="1" destOrd="0" presId="urn:microsoft.com/office/officeart/2005/8/layout/orgChart1"/>
    <dgm:cxn modelId="{EEACFA02-BC7B-44FE-838C-31F77940423C}" type="presParOf" srcId="{3E7C0B53-74A5-41C0-8BF7-52F561A29D87}" destId="{F2B039D0-40C6-4A2F-89AC-7D2AB95429CD}" srcOrd="1" destOrd="0" presId="urn:microsoft.com/office/officeart/2005/8/layout/orgChart1"/>
    <dgm:cxn modelId="{209B6F08-EF5C-4DAA-8C98-F592446B817B}" type="presParOf" srcId="{3E7C0B53-74A5-41C0-8BF7-52F561A29D87}" destId="{B4888CBE-C08A-43D7-ACD5-957CDF550C65}" srcOrd="2" destOrd="0" presId="urn:microsoft.com/office/officeart/2005/8/layout/orgChart1"/>
    <dgm:cxn modelId="{498D25F6-36E8-4337-A8C1-C78567AE1690}" type="presParOf" srcId="{EB256861-2F30-4E16-B7F3-F9A02FC6EE63}" destId="{1E21D688-A5A4-4B1C-80C4-C7B0B2105F4A}" srcOrd="6" destOrd="0" presId="urn:microsoft.com/office/officeart/2005/8/layout/orgChart1"/>
    <dgm:cxn modelId="{05ED973A-C33F-4795-9146-3EA659BCA984}" type="presParOf" srcId="{EB256861-2F30-4E16-B7F3-F9A02FC6EE63}" destId="{9D208719-0B38-4B3A-A5A8-F685C1E1A5C3}" srcOrd="7" destOrd="0" presId="urn:microsoft.com/office/officeart/2005/8/layout/orgChart1"/>
    <dgm:cxn modelId="{CAA4AECC-0442-474D-8746-F8553FEEBD0C}" type="presParOf" srcId="{9D208719-0B38-4B3A-A5A8-F685C1E1A5C3}" destId="{7DF62921-96A7-4BCC-8CE4-2D4A88C1FE8B}" srcOrd="0" destOrd="0" presId="urn:microsoft.com/office/officeart/2005/8/layout/orgChart1"/>
    <dgm:cxn modelId="{77025851-0EA8-46C6-8F24-4BC1BEC9026F}" type="presParOf" srcId="{7DF62921-96A7-4BCC-8CE4-2D4A88C1FE8B}" destId="{F18506E3-3943-43B4-B8AC-0B5408433855}" srcOrd="0" destOrd="0" presId="urn:microsoft.com/office/officeart/2005/8/layout/orgChart1"/>
    <dgm:cxn modelId="{07B4FD07-20D0-436B-B9B8-D16130417FCD}" type="presParOf" srcId="{7DF62921-96A7-4BCC-8CE4-2D4A88C1FE8B}" destId="{707795BA-EA31-4ADF-8AD0-3045A5C89A52}" srcOrd="1" destOrd="0" presId="urn:microsoft.com/office/officeart/2005/8/layout/orgChart1"/>
    <dgm:cxn modelId="{FC6A8D87-4E1F-4B30-BA4E-0E1B8DB86E34}" type="presParOf" srcId="{9D208719-0B38-4B3A-A5A8-F685C1E1A5C3}" destId="{52002504-FCCC-4B00-8121-044BEDF37A25}" srcOrd="1" destOrd="0" presId="urn:microsoft.com/office/officeart/2005/8/layout/orgChart1"/>
    <dgm:cxn modelId="{55940FB5-A3E8-43F4-8043-BA8573BBEA74}" type="presParOf" srcId="{9D208719-0B38-4B3A-A5A8-F685C1E1A5C3}" destId="{5EF9AABF-E9C9-4380-8BFD-4E0E30245CFA}" srcOrd="2" destOrd="0" presId="urn:microsoft.com/office/officeart/2005/8/layout/orgChart1"/>
    <dgm:cxn modelId="{8265C0EC-18CC-472F-BA04-8CB53138AE22}" type="presParOf" srcId="{9EF48210-5BCC-4D7B-8BEC-25DAA739C97F}" destId="{882C20B0-82B1-42B0-A369-9706C1C4821F}" srcOrd="2" destOrd="0" presId="urn:microsoft.com/office/officeart/2005/8/layout/orgChart1"/>
    <dgm:cxn modelId="{23B6B441-4F17-42A5-A4E4-AFB022BA3D84}" type="presParOf" srcId="{003BB450-A3DC-4B84-87B8-8762EA729E94}" destId="{BCAE8EAE-2C63-45B3-9256-31053D908FF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1D688-A5A4-4B1C-80C4-C7B0B2105F4A}">
      <dsp:nvSpPr>
        <dsp:cNvPr id="0" name=""/>
        <dsp:cNvSpPr/>
      </dsp:nvSpPr>
      <dsp:spPr>
        <a:xfrm>
          <a:off x="652252" y="1579211"/>
          <a:ext cx="2356377" cy="272638"/>
        </a:xfrm>
        <a:custGeom>
          <a:avLst/>
          <a:gdLst/>
          <a:ahLst/>
          <a:cxnLst/>
          <a:rect l="0" t="0" r="0" b="0"/>
          <a:pathLst>
            <a:path>
              <a:moveTo>
                <a:pt x="2356377" y="0"/>
              </a:moveTo>
              <a:lnTo>
                <a:pt x="2356377" y="136319"/>
              </a:lnTo>
              <a:lnTo>
                <a:pt x="0" y="136319"/>
              </a:lnTo>
              <a:lnTo>
                <a:pt x="0" y="2726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18C65-A89E-4452-A1E1-87F9CEE3B528}">
      <dsp:nvSpPr>
        <dsp:cNvPr id="0" name=""/>
        <dsp:cNvSpPr/>
      </dsp:nvSpPr>
      <dsp:spPr>
        <a:xfrm>
          <a:off x="2223170" y="1579211"/>
          <a:ext cx="785459" cy="272638"/>
        </a:xfrm>
        <a:custGeom>
          <a:avLst/>
          <a:gdLst/>
          <a:ahLst/>
          <a:cxnLst/>
          <a:rect l="0" t="0" r="0" b="0"/>
          <a:pathLst>
            <a:path>
              <a:moveTo>
                <a:pt x="785459" y="0"/>
              </a:moveTo>
              <a:lnTo>
                <a:pt x="785459" y="136319"/>
              </a:lnTo>
              <a:lnTo>
                <a:pt x="0" y="136319"/>
              </a:lnTo>
              <a:lnTo>
                <a:pt x="0" y="2726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15FFB-6162-4CD5-AF1A-10276757F1FA}">
      <dsp:nvSpPr>
        <dsp:cNvPr id="0" name=""/>
        <dsp:cNvSpPr/>
      </dsp:nvSpPr>
      <dsp:spPr>
        <a:xfrm>
          <a:off x="3008629" y="1579211"/>
          <a:ext cx="785459" cy="272638"/>
        </a:xfrm>
        <a:custGeom>
          <a:avLst/>
          <a:gdLst/>
          <a:ahLst/>
          <a:cxnLst/>
          <a:rect l="0" t="0" r="0" b="0"/>
          <a:pathLst>
            <a:path>
              <a:moveTo>
                <a:pt x="0" y="0"/>
              </a:moveTo>
              <a:lnTo>
                <a:pt x="0" y="136319"/>
              </a:lnTo>
              <a:lnTo>
                <a:pt x="785459" y="136319"/>
              </a:lnTo>
              <a:lnTo>
                <a:pt x="785459" y="2726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DBAFD-4F90-4232-8E69-B79B5796ACE6}">
      <dsp:nvSpPr>
        <dsp:cNvPr id="0" name=""/>
        <dsp:cNvSpPr/>
      </dsp:nvSpPr>
      <dsp:spPr>
        <a:xfrm>
          <a:off x="3008629" y="1579211"/>
          <a:ext cx="2356377" cy="272638"/>
        </a:xfrm>
        <a:custGeom>
          <a:avLst/>
          <a:gdLst/>
          <a:ahLst/>
          <a:cxnLst/>
          <a:rect l="0" t="0" r="0" b="0"/>
          <a:pathLst>
            <a:path>
              <a:moveTo>
                <a:pt x="0" y="0"/>
              </a:moveTo>
              <a:lnTo>
                <a:pt x="0" y="136319"/>
              </a:lnTo>
              <a:lnTo>
                <a:pt x="2356377" y="136319"/>
              </a:lnTo>
              <a:lnTo>
                <a:pt x="2356377" y="2726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01476-E81F-44BB-BA5B-9436B11ACAF1}">
      <dsp:nvSpPr>
        <dsp:cNvPr id="0" name=""/>
        <dsp:cNvSpPr/>
      </dsp:nvSpPr>
      <dsp:spPr>
        <a:xfrm>
          <a:off x="2962909" y="657433"/>
          <a:ext cx="91440" cy="272638"/>
        </a:xfrm>
        <a:custGeom>
          <a:avLst/>
          <a:gdLst/>
          <a:ahLst/>
          <a:cxnLst/>
          <a:rect l="0" t="0" r="0" b="0"/>
          <a:pathLst>
            <a:path>
              <a:moveTo>
                <a:pt x="45720" y="0"/>
              </a:moveTo>
              <a:lnTo>
                <a:pt x="45720" y="2726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2CAE8-C9B5-474E-84AD-1FC493DC1E69}">
      <dsp:nvSpPr>
        <dsp:cNvPr id="0" name=""/>
        <dsp:cNvSpPr/>
      </dsp:nvSpPr>
      <dsp:spPr>
        <a:xfrm>
          <a:off x="2359490" y="8293"/>
          <a:ext cx="1298279" cy="6491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Chair of ADPH London (Director of Public Health in a London borough)</a:t>
          </a:r>
        </a:p>
      </dsp:txBody>
      <dsp:txXfrm>
        <a:off x="2359490" y="8293"/>
        <a:ext cx="1298279" cy="649139"/>
      </dsp:txXfrm>
    </dsp:sp>
    <dsp:sp modelId="{8682C3E0-AC1E-4F04-8535-A9AE693FD708}">
      <dsp:nvSpPr>
        <dsp:cNvPr id="0" name=""/>
        <dsp:cNvSpPr/>
      </dsp:nvSpPr>
      <dsp:spPr>
        <a:xfrm>
          <a:off x="2359490" y="930072"/>
          <a:ext cx="1298279" cy="6491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Programme Manager (PO8)</a:t>
          </a:r>
        </a:p>
      </dsp:txBody>
      <dsp:txXfrm>
        <a:off x="2359490" y="930072"/>
        <a:ext cx="1298279" cy="649139"/>
      </dsp:txXfrm>
    </dsp:sp>
    <dsp:sp modelId="{4C36CA54-068A-49BF-9D3A-BD5B592C1D0E}">
      <dsp:nvSpPr>
        <dsp:cNvPr id="0" name=""/>
        <dsp:cNvSpPr/>
      </dsp:nvSpPr>
      <dsp:spPr>
        <a:xfrm>
          <a:off x="4715867" y="1851850"/>
          <a:ext cx="1298279" cy="6491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1" kern="1200"/>
            <a:t>Secondees, trainees or Contractors working on the programme but based in other boroughs</a:t>
          </a:r>
        </a:p>
      </dsp:txBody>
      <dsp:txXfrm>
        <a:off x="4715867" y="1851850"/>
        <a:ext cx="1298279" cy="649139"/>
      </dsp:txXfrm>
    </dsp:sp>
    <dsp:sp modelId="{9F8CA4C4-C282-4E0D-9F34-233B99083E2A}">
      <dsp:nvSpPr>
        <dsp:cNvPr id="0" name=""/>
        <dsp:cNvSpPr/>
      </dsp:nvSpPr>
      <dsp:spPr>
        <a:xfrm>
          <a:off x="3144949" y="1851850"/>
          <a:ext cx="1298279" cy="6491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Programme Support Officer (SO1-PO1)</a:t>
          </a:r>
        </a:p>
      </dsp:txBody>
      <dsp:txXfrm>
        <a:off x="3144949" y="1851850"/>
        <a:ext cx="1298279" cy="649139"/>
      </dsp:txXfrm>
    </dsp:sp>
    <dsp:sp modelId="{3B942469-E740-45AA-A898-8162C6639F35}">
      <dsp:nvSpPr>
        <dsp:cNvPr id="0" name=""/>
        <dsp:cNvSpPr/>
      </dsp:nvSpPr>
      <dsp:spPr>
        <a:xfrm>
          <a:off x="1574030" y="1851850"/>
          <a:ext cx="1298279" cy="649139"/>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Public Health Strategist &amp; Improvement Lead (PO6)</a:t>
          </a:r>
        </a:p>
      </dsp:txBody>
      <dsp:txXfrm>
        <a:off x="1574030" y="1851850"/>
        <a:ext cx="1298279" cy="649139"/>
      </dsp:txXfrm>
    </dsp:sp>
    <dsp:sp modelId="{F18506E3-3943-43B4-B8AC-0B5408433855}">
      <dsp:nvSpPr>
        <dsp:cNvPr id="0" name=""/>
        <dsp:cNvSpPr/>
      </dsp:nvSpPr>
      <dsp:spPr>
        <a:xfrm>
          <a:off x="3112" y="1851850"/>
          <a:ext cx="1298279" cy="6491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Public Health Strategist &amp; Improvement Lead (PO6)</a:t>
          </a:r>
        </a:p>
      </dsp:txBody>
      <dsp:txXfrm>
        <a:off x="3112" y="1851850"/>
        <a:ext cx="1298279" cy="6491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43876-37D1-4864-860F-6CADCC25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BA970256.dotm</Template>
  <TotalTime>2</TotalTime>
  <Pages>7</Pages>
  <Words>2048</Words>
  <Characters>11938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Chambers Jo</cp:lastModifiedBy>
  <cp:revision>2</cp:revision>
  <cp:lastPrinted>2016-04-19T15:02:00Z</cp:lastPrinted>
  <dcterms:created xsi:type="dcterms:W3CDTF">2017-12-05T12:30:00Z</dcterms:created>
  <dcterms:modified xsi:type="dcterms:W3CDTF">2017-12-05T12:30:00Z</dcterms:modified>
</cp:coreProperties>
</file>