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A7" w:rsidRPr="00C438F7" w:rsidRDefault="00D05919" w:rsidP="006C58A7">
      <w:pPr>
        <w:pStyle w:val="Heading3"/>
        <w:jc w:val="center"/>
        <w:rPr>
          <w:b w:val="0"/>
          <w:sz w:val="28"/>
          <w:szCs w:val="28"/>
        </w:rPr>
      </w:pPr>
      <w:r>
        <w:rPr>
          <w:rFonts w:cs="Arial"/>
          <w:sz w:val="28"/>
          <w:szCs w:val="28"/>
        </w:rPr>
        <w:t xml:space="preserve">Adult Social </w:t>
      </w:r>
      <w:r w:rsidR="006C58A7" w:rsidRPr="00C438F7">
        <w:rPr>
          <w:sz w:val="28"/>
          <w:szCs w:val="28"/>
        </w:rPr>
        <w:t>Services – Job Description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="008B6519">
        <w:rPr>
          <w:sz w:val="24"/>
          <w:szCs w:val="24"/>
        </w:rPr>
        <w:tab/>
      </w:r>
      <w:r w:rsidR="00D05919">
        <w:rPr>
          <w:sz w:val="24"/>
          <w:szCs w:val="24"/>
        </w:rPr>
        <w:t>Reviewing Officer</w:t>
      </w: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="008108C2">
        <w:rPr>
          <w:b/>
          <w:sz w:val="24"/>
          <w:szCs w:val="24"/>
        </w:rPr>
        <w:t>PO1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 w:rsidR="008B6519">
        <w:rPr>
          <w:sz w:val="24"/>
          <w:szCs w:val="24"/>
        </w:rPr>
        <w:tab/>
      </w:r>
      <w:r w:rsidR="00D05919">
        <w:rPr>
          <w:sz w:val="24"/>
          <w:szCs w:val="24"/>
        </w:rPr>
        <w:t xml:space="preserve">Reviewing Officer Team Manager 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</w:p>
    <w:p w:rsidR="006C58A7" w:rsidRDefault="006C58A7" w:rsidP="00B32A91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D05919">
        <w:rPr>
          <w:sz w:val="24"/>
          <w:szCs w:val="24"/>
        </w:rPr>
        <w:t>None</w:t>
      </w:r>
    </w:p>
    <w:p w:rsidR="00B32A91" w:rsidRDefault="00B32A91" w:rsidP="00B32A91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1804"/>
        <w:gridCol w:w="2373"/>
        <w:gridCol w:w="2310"/>
        <w:gridCol w:w="2310"/>
      </w:tblGrid>
      <w:tr w:rsidR="00B32A91" w:rsidRPr="00B32A91" w:rsidTr="00B32A91">
        <w:tc>
          <w:tcPr>
            <w:tcW w:w="1804" w:type="dxa"/>
          </w:tcPr>
          <w:p w:rsidR="00B32A91" w:rsidRPr="00B32A91" w:rsidRDefault="00B32A91" w:rsidP="00B32A91">
            <w:pPr>
              <w:jc w:val="center"/>
              <w:rPr>
                <w:b/>
                <w:color w:val="000000"/>
                <w:sz w:val="20"/>
              </w:rPr>
            </w:pPr>
            <w:r w:rsidRPr="00B32A91">
              <w:rPr>
                <w:b/>
                <w:color w:val="000000"/>
                <w:sz w:val="20"/>
              </w:rPr>
              <w:t>UP TO 5 STAFF</w:t>
            </w:r>
          </w:p>
        </w:tc>
        <w:tc>
          <w:tcPr>
            <w:tcW w:w="2373" w:type="dxa"/>
          </w:tcPr>
          <w:p w:rsidR="00B32A91" w:rsidRPr="00B32A91" w:rsidRDefault="00B32A91" w:rsidP="00B32A91">
            <w:pPr>
              <w:jc w:val="center"/>
              <w:rPr>
                <w:b/>
                <w:color w:val="000000"/>
                <w:sz w:val="20"/>
              </w:rPr>
            </w:pPr>
            <w:r w:rsidRPr="00B32A91">
              <w:rPr>
                <w:b/>
                <w:color w:val="000000"/>
                <w:sz w:val="20"/>
              </w:rPr>
              <w:t>6-15 STAFF</w:t>
            </w:r>
          </w:p>
        </w:tc>
        <w:tc>
          <w:tcPr>
            <w:tcW w:w="2310" w:type="dxa"/>
          </w:tcPr>
          <w:p w:rsidR="00B32A91" w:rsidRPr="00B32A91" w:rsidRDefault="00B32A91" w:rsidP="00B32A91">
            <w:pPr>
              <w:jc w:val="center"/>
              <w:rPr>
                <w:b/>
                <w:color w:val="000000"/>
                <w:sz w:val="20"/>
              </w:rPr>
            </w:pPr>
            <w:r w:rsidRPr="00B32A91">
              <w:rPr>
                <w:b/>
                <w:color w:val="000000"/>
                <w:sz w:val="20"/>
              </w:rPr>
              <w:t>16-49 STAFF</w:t>
            </w:r>
          </w:p>
        </w:tc>
        <w:tc>
          <w:tcPr>
            <w:tcW w:w="2310" w:type="dxa"/>
          </w:tcPr>
          <w:p w:rsidR="00B32A91" w:rsidRPr="00B32A91" w:rsidRDefault="00B32A91" w:rsidP="00B32A91">
            <w:pPr>
              <w:jc w:val="center"/>
              <w:rPr>
                <w:b/>
                <w:color w:val="000000"/>
                <w:sz w:val="20"/>
              </w:rPr>
            </w:pPr>
            <w:r w:rsidRPr="00B32A91">
              <w:rPr>
                <w:b/>
                <w:color w:val="000000"/>
                <w:sz w:val="20"/>
              </w:rPr>
              <w:t>50+ STAFF</w:t>
            </w:r>
          </w:p>
        </w:tc>
      </w:tr>
      <w:tr w:rsidR="00B32A91" w:rsidTr="00B32A91">
        <w:tc>
          <w:tcPr>
            <w:tcW w:w="1804" w:type="dxa"/>
          </w:tcPr>
          <w:p w:rsidR="00B32A91" w:rsidRDefault="00B32A91" w:rsidP="00B32A91">
            <w:pPr>
              <w:jc w:val="center"/>
              <w:rPr>
                <w:b/>
                <w:sz w:val="20"/>
              </w:rPr>
            </w:pPr>
          </w:p>
        </w:tc>
        <w:tc>
          <w:tcPr>
            <w:tcW w:w="2373" w:type="dxa"/>
          </w:tcPr>
          <w:p w:rsidR="00B32A91" w:rsidRDefault="00B32A91" w:rsidP="00B32A91">
            <w:pPr>
              <w:jc w:val="center"/>
              <w:rPr>
                <w:b/>
                <w:sz w:val="20"/>
              </w:rPr>
            </w:pPr>
          </w:p>
        </w:tc>
        <w:tc>
          <w:tcPr>
            <w:tcW w:w="2310" w:type="dxa"/>
          </w:tcPr>
          <w:p w:rsidR="00B32A91" w:rsidRDefault="00B32A91" w:rsidP="00B32A91">
            <w:pPr>
              <w:jc w:val="center"/>
              <w:rPr>
                <w:b/>
                <w:sz w:val="20"/>
              </w:rPr>
            </w:pPr>
          </w:p>
        </w:tc>
        <w:tc>
          <w:tcPr>
            <w:tcW w:w="2310" w:type="dxa"/>
          </w:tcPr>
          <w:p w:rsidR="00B32A91" w:rsidRDefault="00B32A91" w:rsidP="00B32A91">
            <w:pPr>
              <w:jc w:val="center"/>
              <w:rPr>
                <w:b/>
                <w:sz w:val="20"/>
              </w:rPr>
            </w:pPr>
          </w:p>
        </w:tc>
      </w:tr>
    </w:tbl>
    <w:p w:rsidR="006575F6" w:rsidRDefault="006575F6" w:rsidP="006C58A7">
      <w:pPr>
        <w:jc w:val="both"/>
        <w:rPr>
          <w:sz w:val="24"/>
          <w:szCs w:val="24"/>
        </w:rPr>
      </w:pPr>
    </w:p>
    <w:p w:rsidR="006C58A7" w:rsidRDefault="00B32A91" w:rsidP="006C58A7">
      <w:pPr>
        <w:jc w:val="both"/>
        <w:rPr>
          <w:sz w:val="24"/>
          <w:szCs w:val="24"/>
        </w:rPr>
      </w:pPr>
      <w:r>
        <w:rPr>
          <w:sz w:val="24"/>
          <w:szCs w:val="24"/>
        </w:rPr>
        <w:t>Also please attach a structure chart.  Will the postholder be responsible for contract/agency/project staff, if so please provide details?</w:t>
      </w:r>
      <w:r w:rsidR="00D05919">
        <w:rPr>
          <w:sz w:val="24"/>
          <w:szCs w:val="24"/>
        </w:rPr>
        <w:t xml:space="preserve"> No</w:t>
      </w:r>
    </w:p>
    <w:p w:rsidR="00776056" w:rsidRDefault="00776056" w:rsidP="006C58A7">
      <w:pPr>
        <w:jc w:val="both"/>
        <w:rPr>
          <w:sz w:val="24"/>
          <w:szCs w:val="24"/>
        </w:rPr>
      </w:pPr>
      <w:r>
        <w:rPr>
          <w:sz w:val="24"/>
          <w:szCs w:val="24"/>
        </w:rPr>
        <w:t>Are the staff that this postholder will supervise/manage bas</w:t>
      </w:r>
      <w:r w:rsidR="00D05919">
        <w:rPr>
          <w:sz w:val="24"/>
          <w:szCs w:val="24"/>
        </w:rPr>
        <w:t>ed at the same work location; N/A</w:t>
      </w:r>
    </w:p>
    <w:p w:rsidR="00776056" w:rsidRDefault="00776056" w:rsidP="006C58A7">
      <w:pPr>
        <w:jc w:val="both"/>
        <w:rPr>
          <w:sz w:val="24"/>
          <w:szCs w:val="24"/>
        </w:rPr>
      </w:pPr>
      <w:r>
        <w:rPr>
          <w:sz w:val="24"/>
          <w:szCs w:val="24"/>
        </w:rPr>
        <w:t>If no; please provide details: ……………………………………………………………….</w:t>
      </w:r>
    </w:p>
    <w:p w:rsidR="00776056" w:rsidRDefault="00776056" w:rsidP="006C58A7">
      <w:pPr>
        <w:jc w:val="both"/>
        <w:rPr>
          <w:sz w:val="24"/>
          <w:szCs w:val="24"/>
        </w:rPr>
      </w:pPr>
    </w:p>
    <w:p w:rsidR="00776056" w:rsidRPr="00C438F7" w:rsidRDefault="00776056" w:rsidP="006C58A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1"/>
      </w:pPr>
      <w:r>
        <w:t>BASIC OBJECTIVES OF THE POST</w:t>
      </w:r>
    </w:p>
    <w:p w:rsidR="006C58A7" w:rsidRDefault="0067603D" w:rsidP="00F153CE">
      <w:r>
        <w:t>Outline in a few sentences</w:t>
      </w:r>
      <w:r w:rsidR="00F153CE">
        <w:t xml:space="preserve"> key elements of the job.  This should provide the postholder with a good idea of what the job is about.</w:t>
      </w:r>
    </w:p>
    <w:p w:rsidR="00F153CE" w:rsidRDefault="00F153CE" w:rsidP="006C58A7">
      <w:pPr>
        <w:pStyle w:val="BodyText"/>
        <w:jc w:val="left"/>
      </w:pPr>
    </w:p>
    <w:p w:rsidR="006C58A7" w:rsidRDefault="00D05919" w:rsidP="006C58A7">
      <w:pPr>
        <w:pStyle w:val="BodyText"/>
        <w:numPr>
          <w:ilvl w:val="0"/>
          <w:numId w:val="11"/>
        </w:numPr>
        <w:jc w:val="left"/>
      </w:pPr>
      <w:r>
        <w:t xml:space="preserve">To undertake person centred reviews </w:t>
      </w:r>
      <w:r w:rsidR="00C15AA7">
        <w:t>for service users and their carer</w:t>
      </w:r>
      <w:r w:rsidR="009F6C7F">
        <w:t>’s in line with the Care Act 2014.</w:t>
      </w:r>
    </w:p>
    <w:p w:rsidR="006C58A7" w:rsidRDefault="006C58A7" w:rsidP="00C438F7">
      <w:pPr>
        <w:pStyle w:val="BodyText"/>
        <w:jc w:val="left"/>
      </w:pPr>
    </w:p>
    <w:p w:rsidR="006C58A7" w:rsidRDefault="00D05919" w:rsidP="00C438F7">
      <w:pPr>
        <w:pStyle w:val="BodyText"/>
        <w:numPr>
          <w:ilvl w:val="0"/>
          <w:numId w:val="11"/>
        </w:numPr>
        <w:jc w:val="left"/>
      </w:pPr>
      <w:r>
        <w:t xml:space="preserve">To </w:t>
      </w:r>
      <w:r w:rsidR="00B53B5F">
        <w:t>effectively manage workload against performance management targets to ensure productivity and quality of work.</w:t>
      </w:r>
    </w:p>
    <w:p w:rsidR="006C58A7" w:rsidRDefault="006C58A7" w:rsidP="00C438F7">
      <w:pPr>
        <w:pStyle w:val="BodyText"/>
        <w:jc w:val="left"/>
      </w:pPr>
    </w:p>
    <w:p w:rsidR="006C58A7" w:rsidRDefault="00B53B5F" w:rsidP="006C58A7">
      <w:pPr>
        <w:pStyle w:val="BodyText"/>
        <w:numPr>
          <w:ilvl w:val="0"/>
          <w:numId w:val="11"/>
        </w:numPr>
        <w:jc w:val="left"/>
      </w:pPr>
      <w:r>
        <w:t>To maximise the independence of those that are reviewed and effectively implement preventative interventions and ensure a strengths based approach is central to the review process</w:t>
      </w:r>
      <w:r w:rsidR="00DA3AFA">
        <w:t>.</w:t>
      </w:r>
    </w:p>
    <w:p w:rsidR="00DA3AFA" w:rsidRDefault="00DA3AFA" w:rsidP="00DA3AFA">
      <w:pPr>
        <w:pStyle w:val="ListParagraph"/>
      </w:pPr>
    </w:p>
    <w:p w:rsidR="00DA3AFA" w:rsidRDefault="00DA3AFA" w:rsidP="006C58A7">
      <w:pPr>
        <w:pStyle w:val="BodyText"/>
        <w:numPr>
          <w:ilvl w:val="0"/>
          <w:numId w:val="11"/>
        </w:numPr>
        <w:jc w:val="left"/>
      </w:pPr>
      <w:r>
        <w:t>To work positively and collaboratively with partner organisations including health, voluntary sector, housing, children services etc.</w:t>
      </w:r>
    </w:p>
    <w:p w:rsidR="006C58A7" w:rsidRDefault="006C58A7" w:rsidP="00C438F7">
      <w:pPr>
        <w:pStyle w:val="BodyText"/>
        <w:jc w:val="left"/>
      </w:pPr>
    </w:p>
    <w:p w:rsidR="006C58A7" w:rsidRDefault="006C58A7" w:rsidP="006C58A7">
      <w:pPr>
        <w:pStyle w:val="BodyText"/>
        <w:jc w:val="left"/>
      </w:pPr>
    </w:p>
    <w:p w:rsidR="006C58A7" w:rsidRDefault="006C58A7" w:rsidP="006C58A7">
      <w:pPr>
        <w:pStyle w:val="Header"/>
        <w:tabs>
          <w:tab w:val="clear" w:pos="4153"/>
          <w:tab w:val="clear" w:pos="8306"/>
        </w:tabs>
      </w:pPr>
    </w:p>
    <w:p w:rsidR="006C58A7" w:rsidRDefault="006C58A7" w:rsidP="006C58A7">
      <w:pPr>
        <w:pStyle w:val="Heading2"/>
        <w:jc w:val="left"/>
      </w:pPr>
      <w:r>
        <w:t>MAIN DUTIES &amp; RESPONSIBILITIES</w:t>
      </w:r>
    </w:p>
    <w:p w:rsidR="006C58A7" w:rsidRDefault="00F153CE" w:rsidP="00F153CE">
      <w:r>
        <w:t>Ideally identify the main duties and responsibilities in 8</w:t>
      </w:r>
      <w:r w:rsidR="0067603D">
        <w:t xml:space="preserve"> – 14 sentences</w:t>
      </w:r>
      <w:r>
        <w:t>.</w:t>
      </w:r>
    </w:p>
    <w:p w:rsidR="00F153CE" w:rsidRDefault="00F153CE" w:rsidP="006B51E7">
      <w:pPr>
        <w:pStyle w:val="Header"/>
        <w:tabs>
          <w:tab w:val="clear" w:pos="4153"/>
          <w:tab w:val="clear" w:pos="8306"/>
        </w:tabs>
      </w:pPr>
    </w:p>
    <w:p w:rsidR="006C58A7" w:rsidRDefault="0047152D" w:rsidP="006C58A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t>Manage and p</w:t>
      </w:r>
      <w:r w:rsidR="002F2ED9">
        <w:t>rioritise work</w:t>
      </w:r>
      <w:r>
        <w:t xml:space="preserve">load </w:t>
      </w:r>
      <w:r w:rsidR="002F2ED9">
        <w:t xml:space="preserve">so that </w:t>
      </w:r>
      <w:r>
        <w:t>deadlines are adhered to with a focus on high standards of written work and effective interventions and outcomes.</w:t>
      </w:r>
    </w:p>
    <w:p w:rsidR="006C58A7" w:rsidRDefault="006C58A7" w:rsidP="006C58A7">
      <w:pPr>
        <w:pStyle w:val="BodyText"/>
        <w:tabs>
          <w:tab w:val="num" w:pos="426"/>
        </w:tabs>
        <w:ind w:left="426" w:hanging="426"/>
        <w:jc w:val="left"/>
      </w:pPr>
    </w:p>
    <w:p w:rsidR="006C58A7" w:rsidRDefault="002F2ED9" w:rsidP="006C58A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lastRenderedPageBreak/>
        <w:t xml:space="preserve">To undertake reviews in a person centred and holistic manner that has a focus on both the individual’s strengths </w:t>
      </w:r>
      <w:r w:rsidR="00EC5037">
        <w:t>and preventative options that enable</w:t>
      </w:r>
      <w:r>
        <w:t xml:space="preserve"> us to maximise the independence of the individual.</w:t>
      </w:r>
    </w:p>
    <w:p w:rsidR="00566565" w:rsidRDefault="00566565" w:rsidP="00566565"/>
    <w:p w:rsidR="00566565" w:rsidRDefault="00566565" w:rsidP="006C58A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t xml:space="preserve">Ensure that all reviews are in line with the Mental Capacity Act and that workers make judgements on where a service user may </w:t>
      </w:r>
      <w:r w:rsidR="00D16DCF">
        <w:t>have significant</w:t>
      </w:r>
      <w:r>
        <w:t xml:space="preserve"> difficult </w:t>
      </w:r>
      <w:r w:rsidR="00D16DCF">
        <w:t xml:space="preserve">engaging in the process and in those instances that they have suitable advocacy support.  </w:t>
      </w:r>
    </w:p>
    <w:p w:rsidR="005B748A" w:rsidRDefault="005B748A" w:rsidP="005B748A">
      <w:pPr>
        <w:pStyle w:val="ListParagraph"/>
      </w:pPr>
    </w:p>
    <w:p w:rsidR="005B748A" w:rsidRDefault="0066269A" w:rsidP="006C58A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t>Use the review process to make sure that the outcomes for service users are achieved and h</w:t>
      </w:r>
      <w:r w:rsidR="005B748A">
        <w:t>old pr</w:t>
      </w:r>
      <w:r>
        <w:t>oviders accountable for making sure that outcomes are met.</w:t>
      </w:r>
    </w:p>
    <w:p w:rsidR="002B064F" w:rsidRDefault="002B064F" w:rsidP="002B064F">
      <w:pPr>
        <w:pStyle w:val="ListParagraph"/>
      </w:pPr>
    </w:p>
    <w:p w:rsidR="002B064F" w:rsidRDefault="002B064F" w:rsidP="006C58A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t xml:space="preserve">To ensure that any changes to support arrangements </w:t>
      </w:r>
      <w:r w:rsidR="005B748A">
        <w:t>are actioned</w:t>
      </w:r>
      <w:r w:rsidR="00076ED4">
        <w:t xml:space="preserve"> and that cases are presented to panel where ad</w:t>
      </w:r>
      <w:r w:rsidR="0031256C">
        <w:t>ditional funding is required.  Where reductions in packages are appropriate reviewing officers to work with brokerage</w:t>
      </w:r>
      <w:r w:rsidR="00076ED4">
        <w:t xml:space="preserve"> </w:t>
      </w:r>
      <w:r w:rsidR="0031256C">
        <w:t>to make the required changes. Reviewing officers will also be responsible for pulling back unspent personal budgets.</w:t>
      </w:r>
    </w:p>
    <w:p w:rsidR="0061750B" w:rsidRDefault="0061750B" w:rsidP="0061750B">
      <w:pPr>
        <w:pStyle w:val="ListParagraph"/>
      </w:pPr>
    </w:p>
    <w:p w:rsidR="0061750B" w:rsidRDefault="0061750B" w:rsidP="006C58A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t xml:space="preserve">To work within the framework and principles of the Care Act 2014 in making sure that the reviews are accessible, person centred, holistic with a focused on wellbeing and prevention.  </w:t>
      </w:r>
    </w:p>
    <w:p w:rsidR="0031256C" w:rsidRDefault="0031256C" w:rsidP="0031256C">
      <w:pPr>
        <w:pStyle w:val="ListParagraph"/>
      </w:pPr>
    </w:p>
    <w:p w:rsidR="0031256C" w:rsidRDefault="0031256C" w:rsidP="006C58A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t>To understand and work with the Continuing Health Care framework including the completion of DST’s and co-ordinating reviews with health colleagues.</w:t>
      </w:r>
    </w:p>
    <w:p w:rsidR="00CA3AA6" w:rsidRDefault="00CA3AA6" w:rsidP="00CA3AA6">
      <w:pPr>
        <w:pStyle w:val="ListParagraph"/>
      </w:pPr>
    </w:p>
    <w:p w:rsidR="00CA3AA6" w:rsidRDefault="00CA3AA6" w:rsidP="006C58A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t>Work closely with commissioning to ensure that quality standards of providers are being met and to raise concerns or issues when they arise.</w:t>
      </w:r>
    </w:p>
    <w:p w:rsidR="006C58A7" w:rsidRDefault="006C58A7" w:rsidP="006C58A7">
      <w:pPr>
        <w:pStyle w:val="BodyText"/>
        <w:tabs>
          <w:tab w:val="num" w:pos="426"/>
        </w:tabs>
        <w:ind w:left="426" w:hanging="426"/>
        <w:jc w:val="left"/>
      </w:pPr>
    </w:p>
    <w:p w:rsidR="006C58A7" w:rsidRDefault="0047152D" w:rsidP="00C438F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t xml:space="preserve">To ensure the safety of those that are reviewed and </w:t>
      </w:r>
      <w:r w:rsidR="009105B4">
        <w:t>manage aspects of risk through the review process by working in collaboration with partners, providers and carers to ensure that risks are managed and that positive risk taking is supported.</w:t>
      </w:r>
    </w:p>
    <w:p w:rsidR="006C58A7" w:rsidRDefault="006C58A7" w:rsidP="006C58A7">
      <w:pPr>
        <w:pStyle w:val="BodyText"/>
        <w:tabs>
          <w:tab w:val="num" w:pos="426"/>
        </w:tabs>
        <w:ind w:left="426" w:hanging="426"/>
        <w:jc w:val="left"/>
      </w:pPr>
    </w:p>
    <w:p w:rsidR="006C58A7" w:rsidRDefault="009105B4" w:rsidP="006C58A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t>Understand the Haringey S</w:t>
      </w:r>
      <w:r w:rsidR="002F2ED9">
        <w:t>afeguarding</w:t>
      </w:r>
      <w:r>
        <w:t xml:space="preserve"> Process </w:t>
      </w:r>
      <w:r w:rsidR="00651370">
        <w:t>and the safeguarding statutory guidance as set out in the Care Act 2014 and ensure that any safeguarding concerns</w:t>
      </w:r>
      <w:r>
        <w:t xml:space="preserve"> that are identified are raised appro</w:t>
      </w:r>
      <w:r w:rsidR="00651370">
        <w:t>priately and in a timely manner with a focus on Making Safeguarding Personal.</w:t>
      </w:r>
    </w:p>
    <w:p w:rsidR="006C58A7" w:rsidRDefault="006C58A7" w:rsidP="006C58A7">
      <w:pPr>
        <w:pStyle w:val="BodyText"/>
        <w:tabs>
          <w:tab w:val="num" w:pos="426"/>
        </w:tabs>
        <w:ind w:left="426" w:hanging="426"/>
        <w:jc w:val="left"/>
      </w:pPr>
    </w:p>
    <w:p w:rsidR="006C58A7" w:rsidRDefault="007D7703" w:rsidP="006C58A7">
      <w:pPr>
        <w:pStyle w:val="Body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</w:pPr>
      <w:r>
        <w:t xml:space="preserve">Understand and work to </w:t>
      </w:r>
      <w:r w:rsidR="009105B4">
        <w:t>the legislative and organisation</w:t>
      </w:r>
      <w:r>
        <w:t>al frameworks to en</w:t>
      </w:r>
      <w:r w:rsidR="00651370">
        <w:t>sure discharge of statutory duties</w:t>
      </w:r>
      <w:r>
        <w:t xml:space="preserve"> while maintaining best practice standards through all contacts.</w:t>
      </w:r>
    </w:p>
    <w:p w:rsidR="006C58A7" w:rsidRDefault="006C58A7" w:rsidP="006C58A7">
      <w:pPr>
        <w:pStyle w:val="BodyText"/>
        <w:tabs>
          <w:tab w:val="num" w:pos="426"/>
        </w:tabs>
        <w:ind w:left="426" w:hanging="426"/>
        <w:jc w:val="left"/>
      </w:pPr>
    </w:p>
    <w:p w:rsidR="006C58A7" w:rsidRPr="00780DBE" w:rsidRDefault="007D7703" w:rsidP="006C58A7">
      <w:pPr>
        <w:pStyle w:val="BodyTextInden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left"/>
        <w:rPr>
          <w:szCs w:val="24"/>
        </w:rPr>
      </w:pPr>
      <w:r w:rsidRPr="00780DBE">
        <w:rPr>
          <w:szCs w:val="24"/>
        </w:rPr>
        <w:lastRenderedPageBreak/>
        <w:t xml:space="preserve">To actively participate in team meetings to look at new ways of working, improving outcomes and best practice standards to help to the development of the service. </w:t>
      </w:r>
    </w:p>
    <w:p w:rsidR="006C58A7" w:rsidRPr="00780DBE" w:rsidRDefault="006C58A7" w:rsidP="006C58A7">
      <w:pPr>
        <w:pStyle w:val="BodyTextIndent"/>
        <w:tabs>
          <w:tab w:val="num" w:pos="426"/>
        </w:tabs>
        <w:ind w:left="426" w:hanging="426"/>
        <w:jc w:val="left"/>
        <w:rPr>
          <w:szCs w:val="24"/>
        </w:rPr>
      </w:pPr>
    </w:p>
    <w:p w:rsidR="005C4B8A" w:rsidRPr="005C4B8A" w:rsidRDefault="007D7703" w:rsidP="005C4B8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80DBE">
        <w:rPr>
          <w:sz w:val="24"/>
          <w:szCs w:val="24"/>
        </w:rPr>
        <w:t>Work positively and proactively with a range of profess</w:t>
      </w:r>
      <w:r w:rsidR="00780DBE" w:rsidRPr="00780DBE">
        <w:rPr>
          <w:sz w:val="24"/>
          <w:szCs w:val="24"/>
        </w:rPr>
        <w:t xml:space="preserve">ionals, </w:t>
      </w:r>
      <w:proofErr w:type="spellStart"/>
      <w:r w:rsidR="00780DBE" w:rsidRPr="00780DBE">
        <w:rPr>
          <w:sz w:val="24"/>
          <w:szCs w:val="24"/>
        </w:rPr>
        <w:t>organisations</w:t>
      </w:r>
      <w:proofErr w:type="spellEnd"/>
      <w:r w:rsidR="00780DBE" w:rsidRPr="00780DBE">
        <w:rPr>
          <w:sz w:val="24"/>
          <w:szCs w:val="24"/>
        </w:rPr>
        <w:t xml:space="preserve"> and </w:t>
      </w:r>
      <w:proofErr w:type="spellStart"/>
      <w:r w:rsidR="00780DBE" w:rsidRPr="00780DBE">
        <w:rPr>
          <w:sz w:val="24"/>
          <w:szCs w:val="24"/>
        </w:rPr>
        <w:t>carer</w:t>
      </w:r>
      <w:r w:rsidRPr="00780DBE">
        <w:rPr>
          <w:sz w:val="24"/>
          <w:szCs w:val="24"/>
        </w:rPr>
        <w:t>s</w:t>
      </w:r>
      <w:proofErr w:type="spellEnd"/>
      <w:r w:rsidRPr="00780DBE">
        <w:rPr>
          <w:sz w:val="24"/>
          <w:szCs w:val="24"/>
        </w:rPr>
        <w:t xml:space="preserve"> </w:t>
      </w:r>
      <w:r w:rsidR="00780DBE" w:rsidRPr="00780DBE">
        <w:rPr>
          <w:sz w:val="24"/>
          <w:szCs w:val="24"/>
        </w:rPr>
        <w:t>to make sure targets are set, outcomes are achieve</w:t>
      </w:r>
      <w:r w:rsidR="00651370">
        <w:rPr>
          <w:sz w:val="24"/>
          <w:szCs w:val="24"/>
        </w:rPr>
        <w:t xml:space="preserve">d and life opportunities </w:t>
      </w:r>
      <w:proofErr w:type="spellStart"/>
      <w:r w:rsidR="00651370">
        <w:rPr>
          <w:sz w:val="24"/>
          <w:szCs w:val="24"/>
        </w:rPr>
        <w:t>maximis</w:t>
      </w:r>
      <w:r w:rsidR="00780DBE" w:rsidRPr="00780DBE">
        <w:rPr>
          <w:sz w:val="24"/>
          <w:szCs w:val="24"/>
        </w:rPr>
        <w:t>ed</w:t>
      </w:r>
      <w:proofErr w:type="spellEnd"/>
      <w:r w:rsidR="00780DBE" w:rsidRPr="00780DBE">
        <w:rPr>
          <w:sz w:val="24"/>
          <w:szCs w:val="24"/>
        </w:rPr>
        <w:t xml:space="preserve"> for those that we support.</w:t>
      </w:r>
    </w:p>
    <w:p w:rsidR="00C438F7" w:rsidRPr="00780DBE" w:rsidRDefault="00C438F7" w:rsidP="00C438F7">
      <w:pPr>
        <w:rPr>
          <w:sz w:val="24"/>
          <w:szCs w:val="24"/>
        </w:rPr>
      </w:pPr>
    </w:p>
    <w:p w:rsidR="006C58A7" w:rsidRDefault="00780DBE" w:rsidP="006C58A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780DBE">
        <w:rPr>
          <w:sz w:val="24"/>
          <w:szCs w:val="24"/>
        </w:rPr>
        <w:t>Be clear on what the p</w:t>
      </w:r>
      <w:r w:rsidR="002F2ED9" w:rsidRPr="00780DBE">
        <w:rPr>
          <w:sz w:val="24"/>
          <w:szCs w:val="24"/>
        </w:rPr>
        <w:t>erformance management</w:t>
      </w:r>
      <w:r w:rsidRPr="00780DBE">
        <w:rPr>
          <w:sz w:val="24"/>
          <w:szCs w:val="24"/>
        </w:rPr>
        <w:t xml:space="preserve"> indicators within the review service are and ensure that you are able to meet these targets through the course of the year as set out </w:t>
      </w:r>
      <w:r>
        <w:rPr>
          <w:sz w:val="24"/>
          <w:szCs w:val="24"/>
        </w:rPr>
        <w:t>by the Team Manager.</w:t>
      </w:r>
    </w:p>
    <w:p w:rsidR="00EC5037" w:rsidRDefault="00EC5037" w:rsidP="00EC5037">
      <w:pPr>
        <w:pStyle w:val="ListParagraph"/>
        <w:rPr>
          <w:sz w:val="24"/>
          <w:szCs w:val="24"/>
        </w:rPr>
      </w:pPr>
    </w:p>
    <w:p w:rsidR="00EC5037" w:rsidRDefault="00EC5037" w:rsidP="006C58A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Have a clear understanding of the resources, services and provisions within the borough particularly within the voluntary and community sectors to ensure service users and their families are connected to these opportunities.</w:t>
      </w:r>
    </w:p>
    <w:p w:rsidR="00EC5037" w:rsidRDefault="00EC5037" w:rsidP="00EC5037">
      <w:pPr>
        <w:pStyle w:val="ListParagraph"/>
        <w:rPr>
          <w:sz w:val="24"/>
          <w:szCs w:val="24"/>
        </w:rPr>
      </w:pPr>
    </w:p>
    <w:p w:rsidR="00EC5037" w:rsidRPr="00AD18AB" w:rsidRDefault="00AD18AB" w:rsidP="006C58A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D18AB">
        <w:rPr>
          <w:sz w:val="24"/>
          <w:szCs w:val="24"/>
        </w:rPr>
        <w:t xml:space="preserve">Understanding, </w:t>
      </w:r>
      <w:r w:rsidRPr="00AD18AB">
        <w:rPr>
          <w:rFonts w:cs="Arial"/>
          <w:sz w:val="24"/>
          <w:szCs w:val="24"/>
        </w:rPr>
        <w:t>knowledge and ability to follow guidelines that ensure compliance to Health and Safety at Work, Data Protection and other statutory requirements.</w:t>
      </w:r>
    </w:p>
    <w:p w:rsidR="00AD18AB" w:rsidRDefault="00AD18AB" w:rsidP="00AD18AB">
      <w:pPr>
        <w:pStyle w:val="ListParagraph"/>
        <w:rPr>
          <w:sz w:val="24"/>
          <w:szCs w:val="24"/>
        </w:rPr>
      </w:pPr>
    </w:p>
    <w:p w:rsidR="00AD18AB" w:rsidRDefault="00005B50" w:rsidP="006C58A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Knowledge and experience of using IT/working knowledge adequate or sound knowledge required etc</w:t>
      </w:r>
    </w:p>
    <w:p w:rsidR="00005B50" w:rsidRDefault="00005B50" w:rsidP="00005B50">
      <w:pPr>
        <w:pStyle w:val="ListParagraph"/>
        <w:rPr>
          <w:sz w:val="24"/>
          <w:szCs w:val="24"/>
        </w:rPr>
      </w:pPr>
    </w:p>
    <w:p w:rsidR="00005B50" w:rsidRDefault="00005B50" w:rsidP="006C58A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Health and Safety aspects/issues, first aid/manual handling etc in relation to working environment,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Hazardous materials and relevant processes/legislations etc</w:t>
      </w:r>
    </w:p>
    <w:p w:rsidR="00005B50" w:rsidRDefault="00005B50" w:rsidP="00005B50">
      <w:pPr>
        <w:pStyle w:val="ListParagraph"/>
        <w:rPr>
          <w:sz w:val="24"/>
          <w:szCs w:val="24"/>
        </w:rPr>
      </w:pPr>
    </w:p>
    <w:p w:rsidR="00005B50" w:rsidRDefault="00005B50" w:rsidP="006C58A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Understanding and commitment to promoting and implementing the Council’s Equal Opportunities policies.</w:t>
      </w:r>
    </w:p>
    <w:p w:rsidR="00005B50" w:rsidRDefault="00005B50" w:rsidP="00005B50">
      <w:pPr>
        <w:pStyle w:val="ListParagraph"/>
        <w:rPr>
          <w:sz w:val="24"/>
          <w:szCs w:val="24"/>
        </w:rPr>
      </w:pPr>
    </w:p>
    <w:p w:rsidR="00005B50" w:rsidRDefault="00AF1A09" w:rsidP="006C58A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To understand any other temporary duties consistent with the basic duties/or objectives of the post.</w:t>
      </w:r>
    </w:p>
    <w:p w:rsidR="00AF1A09" w:rsidRDefault="00AF1A09" w:rsidP="00AF1A09">
      <w:pPr>
        <w:pStyle w:val="ListParagraph"/>
        <w:rPr>
          <w:sz w:val="24"/>
          <w:szCs w:val="24"/>
        </w:rPr>
      </w:pPr>
    </w:p>
    <w:p w:rsidR="00AF1A09" w:rsidRPr="00AD18AB" w:rsidRDefault="00AF1A09" w:rsidP="006C58A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This position requires the </w:t>
      </w:r>
      <w:proofErr w:type="spellStart"/>
      <w:r>
        <w:rPr>
          <w:sz w:val="24"/>
          <w:szCs w:val="24"/>
        </w:rPr>
        <w:t>postholder</w:t>
      </w:r>
      <w:proofErr w:type="spellEnd"/>
      <w:r>
        <w:rPr>
          <w:sz w:val="24"/>
          <w:szCs w:val="24"/>
        </w:rPr>
        <w:t xml:space="preserve"> to undergo a DBS (Disclosure and Barring Service).</w:t>
      </w:r>
    </w:p>
    <w:p w:rsidR="00AD18AB" w:rsidRDefault="00AD18AB" w:rsidP="00F153CE"/>
    <w:p w:rsidR="00AD18AB" w:rsidRDefault="00AD18AB" w:rsidP="00F153CE"/>
    <w:p w:rsidR="00F153CE" w:rsidRDefault="00F153CE" w:rsidP="00F153CE">
      <w:pPr>
        <w:pStyle w:val="Header"/>
        <w:tabs>
          <w:tab w:val="clear" w:pos="4153"/>
          <w:tab w:val="clear" w:pos="8306"/>
        </w:tabs>
      </w:pPr>
    </w:p>
    <w:p w:rsidR="00F153CE" w:rsidRDefault="00F153CE" w:rsidP="00F153CE">
      <w:pPr>
        <w:pStyle w:val="Heading2"/>
        <w:jc w:val="left"/>
      </w:pPr>
      <w:r>
        <w:t>MAIN CONTACTS</w:t>
      </w:r>
    </w:p>
    <w:p w:rsidR="00F153CE" w:rsidRDefault="0067603D" w:rsidP="00F153CE">
      <w:r>
        <w:t>List main contacts the postholder will deal with in the role.</w:t>
      </w:r>
    </w:p>
    <w:p w:rsidR="00F153CE" w:rsidRDefault="00F153CE" w:rsidP="00F153CE">
      <w:pPr>
        <w:pStyle w:val="Header"/>
        <w:tabs>
          <w:tab w:val="clear" w:pos="4153"/>
          <w:tab w:val="clear" w:pos="8306"/>
        </w:tabs>
      </w:pPr>
    </w:p>
    <w:p w:rsidR="00780DBE" w:rsidRDefault="00780DBE" w:rsidP="00780DBE">
      <w:pPr>
        <w:pStyle w:val="BodyText"/>
        <w:numPr>
          <w:ilvl w:val="0"/>
          <w:numId w:val="23"/>
        </w:numPr>
        <w:jc w:val="left"/>
      </w:pPr>
      <w:r>
        <w:t xml:space="preserve">Service users </w:t>
      </w:r>
    </w:p>
    <w:p w:rsidR="00F153CE" w:rsidRDefault="00780DBE" w:rsidP="00780DBE">
      <w:pPr>
        <w:pStyle w:val="BodyText"/>
        <w:numPr>
          <w:ilvl w:val="0"/>
          <w:numId w:val="23"/>
        </w:numPr>
        <w:jc w:val="left"/>
      </w:pPr>
      <w:r>
        <w:t>Families and informal carers</w:t>
      </w:r>
    </w:p>
    <w:p w:rsidR="00780DBE" w:rsidRDefault="00780DBE" w:rsidP="00780DBE">
      <w:pPr>
        <w:pStyle w:val="BodyText"/>
        <w:numPr>
          <w:ilvl w:val="0"/>
          <w:numId w:val="23"/>
        </w:numPr>
        <w:jc w:val="left"/>
      </w:pPr>
      <w:r>
        <w:t>Social Workers, OT’s and other Adults Social Care Professionals</w:t>
      </w:r>
    </w:p>
    <w:p w:rsidR="00F153CE" w:rsidRDefault="00780DBE" w:rsidP="00F153CE">
      <w:pPr>
        <w:pStyle w:val="BodyText"/>
        <w:numPr>
          <w:ilvl w:val="0"/>
          <w:numId w:val="23"/>
        </w:numPr>
        <w:jc w:val="left"/>
      </w:pPr>
      <w:r>
        <w:lastRenderedPageBreak/>
        <w:t xml:space="preserve">Partner and Provider Organisations including advocacy </w:t>
      </w:r>
    </w:p>
    <w:p w:rsidR="00F153CE" w:rsidRDefault="00780DBE" w:rsidP="00F153CE">
      <w:pPr>
        <w:pStyle w:val="BodyText"/>
        <w:numPr>
          <w:ilvl w:val="0"/>
          <w:numId w:val="23"/>
        </w:numPr>
        <w:jc w:val="left"/>
      </w:pPr>
      <w:r>
        <w:t>Voluntary Sector</w:t>
      </w:r>
    </w:p>
    <w:p w:rsidR="00F153CE" w:rsidRDefault="00F153CE" w:rsidP="00F153CE"/>
    <w:p w:rsidR="00F153CE" w:rsidRDefault="00F153CE" w:rsidP="00F153CE"/>
    <w:p w:rsidR="00D447B0" w:rsidRDefault="00D447B0" w:rsidP="00D447B0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6B51E7" w:rsidRDefault="006B51E7" w:rsidP="006B51E7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6B51E7" w:rsidRDefault="006B51E7" w:rsidP="006B51E7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6B51E7" w:rsidRPr="00530CF8" w:rsidRDefault="006B51E7" w:rsidP="006B51E7">
      <w:pPr>
        <w:tabs>
          <w:tab w:val="left" w:pos="0"/>
          <w:tab w:val="left" w:pos="576"/>
          <w:tab w:val="right" w:pos="4464"/>
          <w:tab w:val="left" w:pos="4752"/>
          <w:tab w:val="right" w:pos="6480"/>
          <w:tab w:val="left" w:pos="6768"/>
          <w:tab w:val="righ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</w:tabs>
        <w:spacing w:line="240" w:lineRule="atLeast"/>
        <w:rPr>
          <w:rFonts w:cs="Arial"/>
        </w:rPr>
      </w:pPr>
    </w:p>
    <w:p w:rsidR="002F32C6" w:rsidRPr="002F32C6" w:rsidRDefault="002F32C6" w:rsidP="00C438F7">
      <w:pPr>
        <w:pStyle w:val="Heading3"/>
        <w:jc w:val="center"/>
        <w:rPr>
          <w:sz w:val="22"/>
          <w:szCs w:val="22"/>
        </w:rPr>
      </w:pPr>
    </w:p>
    <w:p w:rsidR="002F32C6" w:rsidRPr="002F32C6" w:rsidRDefault="002F32C6" w:rsidP="002F32C6">
      <w:pPr>
        <w:pStyle w:val="Heading3"/>
        <w:jc w:val="left"/>
        <w:rPr>
          <w:b w:val="0"/>
          <w:sz w:val="22"/>
          <w:szCs w:val="22"/>
        </w:rPr>
      </w:pPr>
    </w:p>
    <w:p w:rsidR="006C58A7" w:rsidRPr="00C438F7" w:rsidRDefault="00C438F7" w:rsidP="00C438F7">
      <w:pPr>
        <w:pStyle w:val="Heading3"/>
        <w:jc w:val="center"/>
        <w:rPr>
          <w:rFonts w:cs="Arial"/>
          <w:sz w:val="28"/>
          <w:szCs w:val="28"/>
        </w:rPr>
      </w:pPr>
      <w:r w:rsidRPr="002F32C6">
        <w:rPr>
          <w:sz w:val="22"/>
          <w:szCs w:val="22"/>
        </w:rPr>
        <w:br w:type="page"/>
      </w:r>
      <w:r w:rsidR="00AF1A09">
        <w:rPr>
          <w:rFonts w:cs="Arial"/>
          <w:sz w:val="28"/>
          <w:szCs w:val="28"/>
        </w:rPr>
        <w:lastRenderedPageBreak/>
        <w:t xml:space="preserve">Adult Social </w:t>
      </w:r>
      <w:r w:rsidRPr="00C438F7">
        <w:rPr>
          <w:rFonts w:cs="Arial"/>
          <w:sz w:val="28"/>
          <w:szCs w:val="28"/>
        </w:rPr>
        <w:t xml:space="preserve">Services </w:t>
      </w:r>
      <w:r w:rsidR="006C58A7" w:rsidRPr="00C438F7">
        <w:rPr>
          <w:rFonts w:cs="Arial"/>
          <w:sz w:val="28"/>
          <w:szCs w:val="28"/>
        </w:rPr>
        <w:t>– Person Specification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A09">
        <w:rPr>
          <w:sz w:val="24"/>
          <w:szCs w:val="24"/>
        </w:rPr>
        <w:t xml:space="preserve">Reviewing Officer 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="00AF1A09">
        <w:rPr>
          <w:b/>
          <w:sz w:val="24"/>
          <w:szCs w:val="24"/>
        </w:rPr>
        <w:t xml:space="preserve">To be evaluated 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>
        <w:rPr>
          <w:sz w:val="24"/>
          <w:szCs w:val="24"/>
        </w:rPr>
        <w:tab/>
      </w:r>
      <w:r w:rsidR="00AF1A09">
        <w:rPr>
          <w:sz w:val="24"/>
          <w:szCs w:val="24"/>
        </w:rPr>
        <w:t>Reviewing Team Manager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7603D" w:rsidRPr="00C438F7" w:rsidRDefault="0067603D" w:rsidP="0067603D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AF1A09">
        <w:rPr>
          <w:sz w:val="24"/>
          <w:szCs w:val="24"/>
        </w:rPr>
        <w:t xml:space="preserve">None 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6"/>
        <w:jc w:val="left"/>
        <w:rPr>
          <w:sz w:val="24"/>
        </w:rPr>
      </w:pPr>
      <w:r>
        <w:rPr>
          <w:sz w:val="24"/>
        </w:rPr>
        <w:t>The Person</w:t>
      </w:r>
    </w:p>
    <w:p w:rsidR="00AF1A09" w:rsidRDefault="00AF1A09" w:rsidP="006C58A7">
      <w:pPr>
        <w:pStyle w:val="Style1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Experienced reviewing officers who will undertake both carer and service users reviews in line with our maximising independence vision and work positively with all stakeholders to achieve best outcomes.</w:t>
      </w:r>
    </w:p>
    <w:p w:rsidR="006C58A7" w:rsidRPr="00624B0F" w:rsidRDefault="006C58A7" w:rsidP="006C58A7">
      <w:pPr>
        <w:rPr>
          <w:b/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 xml:space="preserve">These are the qualities we believe to be necessary to do this job.  You should clearly show in your application how your skill/experience potential meet some or all of them, </w:t>
      </w:r>
      <w:r w:rsidRPr="00624B0F">
        <w:rPr>
          <w:sz w:val="24"/>
          <w:szCs w:val="24"/>
          <w:u w:val="single"/>
        </w:rPr>
        <w:t>as the shortlisting decision will be based on our assessment of you against these criteria.</w:t>
      </w:r>
    </w:p>
    <w:p w:rsidR="00624B0F" w:rsidRPr="00624B0F" w:rsidRDefault="00624B0F" w:rsidP="00624B0F">
      <w:pPr>
        <w:rPr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>The final assessment process will also seek to assess these characteristics.</w:t>
      </w:r>
    </w:p>
    <w:p w:rsidR="00624B0F" w:rsidRPr="00624B0F" w:rsidRDefault="00624B0F" w:rsidP="006C58A7">
      <w:pPr>
        <w:rPr>
          <w:b/>
          <w:sz w:val="24"/>
          <w:szCs w:val="24"/>
        </w:rPr>
      </w:pPr>
    </w:p>
    <w:p w:rsidR="00C438F7" w:rsidRPr="008B6519" w:rsidRDefault="00C438F7" w:rsidP="006C58A7">
      <w:pPr>
        <w:rPr>
          <w:b/>
          <w:sz w:val="24"/>
          <w:szCs w:val="24"/>
        </w:rPr>
      </w:pPr>
      <w:r w:rsidRPr="008B6519">
        <w:rPr>
          <w:b/>
          <w:sz w:val="24"/>
          <w:szCs w:val="24"/>
        </w:rPr>
        <w:t>Abilities/Experiences</w:t>
      </w:r>
    </w:p>
    <w:p w:rsidR="006C58A7" w:rsidRDefault="004467A2" w:rsidP="006C5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of working in a health/social care setting.  </w:t>
      </w:r>
    </w:p>
    <w:p w:rsidR="002946E1" w:rsidRDefault="0061750B" w:rsidP="006C5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946E1">
        <w:rPr>
          <w:sz w:val="24"/>
          <w:szCs w:val="24"/>
        </w:rPr>
        <w:t>xperience of direct working with service users/patients</w:t>
      </w:r>
    </w:p>
    <w:p w:rsidR="002946E1" w:rsidRDefault="002946E1" w:rsidP="006C5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of working within a reviewing team.</w:t>
      </w:r>
    </w:p>
    <w:p w:rsidR="001B189A" w:rsidRDefault="001B189A" w:rsidP="006C5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</w:t>
      </w:r>
      <w:r w:rsidR="00C729E2">
        <w:rPr>
          <w:sz w:val="24"/>
          <w:szCs w:val="24"/>
        </w:rPr>
        <w:t xml:space="preserve"> of having worked in a person/patient </w:t>
      </w:r>
      <w:proofErr w:type="spellStart"/>
      <w:r w:rsidR="00C729E2">
        <w:rPr>
          <w:sz w:val="24"/>
          <w:szCs w:val="24"/>
        </w:rPr>
        <w:t>centred</w:t>
      </w:r>
      <w:proofErr w:type="spellEnd"/>
      <w:r w:rsidR="00C729E2">
        <w:rPr>
          <w:sz w:val="24"/>
          <w:szCs w:val="24"/>
        </w:rPr>
        <w:t xml:space="preserve"> model of care</w:t>
      </w:r>
    </w:p>
    <w:p w:rsidR="005C4B8A" w:rsidRDefault="005C4B8A" w:rsidP="006C5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independently as well as part of a team.</w:t>
      </w:r>
    </w:p>
    <w:p w:rsidR="005C4B8A" w:rsidRDefault="005C4B8A" w:rsidP="006C5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to performance targets and deadlines as set out by the service area.</w:t>
      </w:r>
    </w:p>
    <w:p w:rsidR="001B189A" w:rsidRDefault="00C729E2" w:rsidP="006C5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under pressure and manage competing demands.</w:t>
      </w:r>
    </w:p>
    <w:p w:rsidR="00C729E2" w:rsidRDefault="00C729E2" w:rsidP="006C5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be flexible and adaptable </w:t>
      </w:r>
    </w:p>
    <w:p w:rsidR="00C729E2" w:rsidRDefault="00C729E2" w:rsidP="006C58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be bold, inventive and ambitious and find creative ways of tackling existing problems.</w:t>
      </w:r>
    </w:p>
    <w:p w:rsidR="006C58A7" w:rsidRDefault="006C58A7" w:rsidP="006C58A7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5C4B8A" w:rsidRDefault="005C4B8A" w:rsidP="006C58A7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624B0F" w:rsidRPr="00624B0F" w:rsidRDefault="00624B0F" w:rsidP="00624B0F">
      <w:pPr>
        <w:rPr>
          <w:b/>
          <w:sz w:val="24"/>
          <w:szCs w:val="24"/>
        </w:rPr>
      </w:pPr>
      <w:r w:rsidRPr="00624B0F">
        <w:rPr>
          <w:b/>
          <w:sz w:val="24"/>
          <w:szCs w:val="24"/>
        </w:rPr>
        <w:t>Qualifications</w:t>
      </w:r>
      <w:r w:rsidR="00A15D0F">
        <w:rPr>
          <w:b/>
          <w:sz w:val="24"/>
          <w:szCs w:val="24"/>
        </w:rPr>
        <w:t xml:space="preserve"> (only if applicable)</w:t>
      </w:r>
    </w:p>
    <w:p w:rsidR="001B189A" w:rsidRPr="00DD5B2C" w:rsidRDefault="001B189A" w:rsidP="001B18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5B2C">
        <w:rPr>
          <w:sz w:val="20"/>
          <w:szCs w:val="20"/>
        </w:rPr>
        <w:t>Desirable – formal qualification within health or social care e.g.</w:t>
      </w:r>
      <w:r>
        <w:rPr>
          <w:sz w:val="20"/>
          <w:szCs w:val="20"/>
        </w:rPr>
        <w:t xml:space="preserve"> NVQ 4</w:t>
      </w:r>
      <w:r w:rsidRPr="00DD5B2C">
        <w:rPr>
          <w:sz w:val="20"/>
          <w:szCs w:val="20"/>
        </w:rPr>
        <w:t xml:space="preserve"> or above</w:t>
      </w:r>
    </w:p>
    <w:p w:rsidR="00624B0F" w:rsidRPr="00C438F7" w:rsidRDefault="00624B0F" w:rsidP="001B189A">
      <w:pPr>
        <w:ind w:left="360"/>
        <w:rPr>
          <w:sz w:val="24"/>
          <w:szCs w:val="24"/>
        </w:rPr>
      </w:pPr>
    </w:p>
    <w:p w:rsidR="00624B0F" w:rsidRDefault="00624B0F" w:rsidP="006C58A7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1B189A" w:rsidRDefault="001B189A" w:rsidP="006C58A7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1B189A" w:rsidRDefault="001B189A" w:rsidP="00624B0F">
      <w:pPr>
        <w:rPr>
          <w:b/>
          <w:sz w:val="24"/>
          <w:szCs w:val="24"/>
        </w:rPr>
      </w:pPr>
    </w:p>
    <w:p w:rsidR="001B189A" w:rsidRDefault="001B189A" w:rsidP="00624B0F">
      <w:pPr>
        <w:rPr>
          <w:b/>
          <w:sz w:val="24"/>
          <w:szCs w:val="24"/>
        </w:rPr>
      </w:pPr>
    </w:p>
    <w:p w:rsidR="00624B0F" w:rsidRPr="00624B0F" w:rsidRDefault="00624B0F" w:rsidP="00624B0F">
      <w:pPr>
        <w:rPr>
          <w:b/>
          <w:sz w:val="24"/>
          <w:szCs w:val="24"/>
        </w:rPr>
      </w:pPr>
      <w:r w:rsidRPr="00624B0F">
        <w:rPr>
          <w:b/>
          <w:sz w:val="24"/>
          <w:szCs w:val="24"/>
        </w:rPr>
        <w:lastRenderedPageBreak/>
        <w:t>Knowledge/Skills</w:t>
      </w:r>
    </w:p>
    <w:p w:rsidR="001B189A" w:rsidRPr="00C438F7" w:rsidRDefault="001B189A" w:rsidP="001B189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working knowledge of key legislation within the health and social care sector.</w:t>
      </w:r>
    </w:p>
    <w:p w:rsidR="00C729E2" w:rsidRDefault="001B189A" w:rsidP="00C729E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Robust knowledge of health and social care frameworks</w:t>
      </w:r>
      <w:r w:rsidR="00C729E2">
        <w:rPr>
          <w:sz w:val="24"/>
          <w:szCs w:val="24"/>
        </w:rPr>
        <w:t xml:space="preserve"> and the impact on practice.</w:t>
      </w:r>
    </w:p>
    <w:p w:rsidR="00D20282" w:rsidRPr="00D20282" w:rsidRDefault="00D20282" w:rsidP="00D202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working knowledge of social and health groups and ways in which to positively engage with them to achieve best outcomes.</w:t>
      </w:r>
    </w:p>
    <w:p w:rsidR="001B189A" w:rsidRDefault="001B189A" w:rsidP="001B189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written work which is outcome fo</w:t>
      </w:r>
      <w:r w:rsidR="00C729E2">
        <w:rPr>
          <w:sz w:val="24"/>
          <w:szCs w:val="24"/>
        </w:rPr>
        <w:t>cused and provi</w:t>
      </w:r>
      <w:r w:rsidR="00D20282">
        <w:rPr>
          <w:sz w:val="24"/>
          <w:szCs w:val="24"/>
        </w:rPr>
        <w:t>des both analysis and solutions to issues that have been identified.</w:t>
      </w:r>
    </w:p>
    <w:p w:rsidR="001B189A" w:rsidRPr="00D20282" w:rsidRDefault="00C729E2" w:rsidP="00D20282">
      <w:pPr>
        <w:numPr>
          <w:ilvl w:val="0"/>
          <w:numId w:val="1"/>
        </w:numPr>
        <w:rPr>
          <w:sz w:val="24"/>
          <w:szCs w:val="24"/>
        </w:rPr>
      </w:pPr>
      <w:r w:rsidRPr="00D20282">
        <w:rPr>
          <w:sz w:val="24"/>
          <w:szCs w:val="24"/>
        </w:rPr>
        <w:t>Strong communication skills to support and encourage engagement from others.</w:t>
      </w:r>
    </w:p>
    <w:p w:rsidR="001B189A" w:rsidRDefault="001B189A" w:rsidP="001B189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Strong </w:t>
      </w:r>
      <w:proofErr w:type="spellStart"/>
      <w:r>
        <w:rPr>
          <w:sz w:val="24"/>
          <w:szCs w:val="24"/>
        </w:rPr>
        <w:t>organisational</w:t>
      </w:r>
      <w:proofErr w:type="spellEnd"/>
      <w:r>
        <w:rPr>
          <w:sz w:val="24"/>
          <w:szCs w:val="24"/>
        </w:rPr>
        <w:t xml:space="preserve"> skills and time management.</w:t>
      </w:r>
    </w:p>
    <w:p w:rsidR="001B189A" w:rsidRDefault="001B189A" w:rsidP="001B189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IT skills across a range of Microsoft Window applications</w:t>
      </w:r>
    </w:p>
    <w:p w:rsidR="00624B0F" w:rsidRPr="00C438F7" w:rsidRDefault="00624B0F" w:rsidP="00C729E2">
      <w:pPr>
        <w:ind w:left="360"/>
        <w:rPr>
          <w:sz w:val="24"/>
          <w:szCs w:val="24"/>
        </w:rPr>
      </w:pPr>
    </w:p>
    <w:p w:rsidR="00624B0F" w:rsidRPr="00C438F7" w:rsidRDefault="00624B0F" w:rsidP="00624B0F">
      <w:pPr>
        <w:rPr>
          <w:sz w:val="24"/>
          <w:szCs w:val="24"/>
        </w:rPr>
      </w:pPr>
    </w:p>
    <w:p w:rsidR="00D3221F" w:rsidRPr="00A9720B" w:rsidRDefault="00D3221F" w:rsidP="00D3221F">
      <w:pPr>
        <w:rPr>
          <w:rFonts w:ascii="HelveticaNeueLT Std" w:hAnsi="HelveticaNeueLT Std"/>
          <w:sz w:val="20"/>
        </w:rPr>
      </w:pPr>
    </w:p>
    <w:p w:rsidR="00751DA8" w:rsidRDefault="00751DA8" w:rsidP="00D3221F">
      <w:pPr>
        <w:ind w:left="-180"/>
        <w:rPr>
          <w:rFonts w:ascii="HelveticaNeueLT Std" w:hAnsi="HelveticaNeueLT Std"/>
          <w:sz w:val="20"/>
        </w:rPr>
      </w:pP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  <w:r w:rsidRPr="00A9720B">
        <w:rPr>
          <w:rFonts w:ascii="HelveticaNeueLT Std" w:hAnsi="HelveticaNeueLT Std"/>
          <w:sz w:val="20"/>
        </w:rPr>
        <w:t>The employee’s duties require the following activities: -</w:t>
      </w: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</w:p>
    <w:tbl>
      <w:tblPr>
        <w:tblStyle w:val="TableGrid"/>
        <w:tblW w:w="82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720"/>
        <w:gridCol w:w="3240"/>
        <w:gridCol w:w="900"/>
      </w:tblGrid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Yes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>Yes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Office duties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2028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Outdoor work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uneven        surfaces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Use of a computer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2028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at heights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on             ladders</w:t>
            </w:r>
            <w:r>
              <w:rPr>
                <w:rFonts w:ascii="HelveticaNeueLT Std" w:hAnsi="HelveticaNeueLT Std" w:cs="Arial"/>
                <w:sz w:val="20"/>
              </w:rPr>
              <w:t xml:space="preserve"> </w:t>
            </w:r>
            <w:r w:rsidRPr="007D45F3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roof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Audio typing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C</w:t>
            </w:r>
            <w:r w:rsidRPr="00A9720B">
              <w:rPr>
                <w:rFonts w:ascii="HelveticaNeueLT Std" w:hAnsi="HelveticaNeueLT Std" w:cs="Arial"/>
                <w:sz w:val="20"/>
              </w:rPr>
              <w:t>onfined spaces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Potentially confrontational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2028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Outdoor work or extremes of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temperature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Crisis or conflict situations 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2028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>Driving a Minibus as part of duties or as a volunteer</w:t>
            </w:r>
          </w:p>
          <w:p w:rsidR="00D3221F" w:rsidRPr="00A9720B" w:rsidRDefault="00D3221F" w:rsidP="00D3221F">
            <w:pPr>
              <w:spacing w:before="12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Management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Driving car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van as part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 of duty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T</w:t>
            </w:r>
            <w:r w:rsidRPr="00A9720B">
              <w:rPr>
                <w:rFonts w:ascii="HelveticaNeueLT Std" w:hAnsi="HelveticaNeueLT Std" w:cs="Arial"/>
                <w:sz w:val="20"/>
              </w:rPr>
              <w:t>ight deadlines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2028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LGV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PSV driving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Walking 1+ miles during working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</w:t>
            </w:r>
            <w:r>
              <w:rPr>
                <w:rFonts w:ascii="HelveticaNeueLT Std" w:hAnsi="HelveticaNeueLT Std" w:cs="Arial"/>
                <w:sz w:val="20"/>
              </w:rPr>
              <w:t xml:space="preserve">rating lift-truck, </w:t>
            </w:r>
            <w:r w:rsidRPr="00A9720B">
              <w:rPr>
                <w:rFonts w:ascii="HelveticaNeueLT Std" w:hAnsi="HelveticaNeueLT Std" w:cs="Arial"/>
                <w:sz w:val="20"/>
              </w:rPr>
              <w:t>digger or crane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Use of stairs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Work with significant electrical hazards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Regular manual handling of 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objects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furniture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equipment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(</w:t>
            </w:r>
            <w:r w:rsidR="00751DA8">
              <w:rPr>
                <w:rFonts w:ascii="HelveticaNeueLT Std" w:hAnsi="HelveticaNeueLT Std" w:cs="Arial"/>
                <w:sz w:val="20"/>
              </w:rPr>
              <w:t>please indicate kilos involved)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Operating potentially            hazardous machinery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Regular and repetitive movements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Exposure to potentially                   hazardous substances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lastRenderedPageBreak/>
              <w:t>A</w:t>
            </w:r>
            <w:r w:rsidRPr="00A9720B">
              <w:rPr>
                <w:rFonts w:ascii="HelveticaNeueLT Std" w:hAnsi="HelveticaNeueLT Std" w:cs="Arial"/>
                <w:sz w:val="20"/>
              </w:rPr>
              <w:t>wkward positions e.g.</w:t>
            </w:r>
            <w:r>
              <w:rPr>
                <w:rFonts w:ascii="HelveticaNeueLT Std" w:hAnsi="HelveticaNeueLT Std" w:cs="Arial"/>
                <w:sz w:val="20"/>
              </w:rPr>
              <w:t xml:space="preserve"> stooping, bending, reaching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Chemicals, e.g. solvents or metal working fluids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Sitting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Standing for prolonged periods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  <w:r w:rsidRPr="00A9720B">
              <w:rPr>
                <w:rFonts w:ascii="HelveticaNeueLT Std" w:hAnsi="HelveticaNeueLT Std" w:cs="Arial"/>
                <w:sz w:val="20"/>
              </w:rPr>
              <w:t>oisy environment (over 80dB[A])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Working alone or in isolation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20282" w:rsidP="00D3221F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Radiation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shifts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unsocial hours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nights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Respiratory e.g. dust, fume, solder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Risk of infection e.g. TB, Hep B</w:t>
            </w:r>
            <w:r>
              <w:rPr>
                <w:sz w:val="20"/>
              </w:rPr>
              <w:t xml:space="preserve"> </w:t>
            </w:r>
            <w:r w:rsidRPr="00A9720B">
              <w:rPr>
                <w:sz w:val="20"/>
              </w:rPr>
              <w:t>/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9720B">
              <w:rPr>
                <w:sz w:val="20"/>
              </w:rPr>
              <w:t>ibrating machinery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751DA8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Teaching </w:t>
            </w:r>
            <w:r w:rsidR="00751DA8">
              <w:rPr>
                <w:sz w:val="20"/>
              </w:rPr>
              <w:t xml:space="preserve">or responsibility for children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</w:p>
          <w:p w:rsidR="00751DA8" w:rsidRPr="00751DA8" w:rsidRDefault="00D3221F" w:rsidP="00751DA8">
            <w:pPr>
              <w:rPr>
                <w:sz w:val="20"/>
              </w:rPr>
            </w:pPr>
            <w:r w:rsidRPr="00A9720B">
              <w:rPr>
                <w:sz w:val="20"/>
              </w:rPr>
              <w:t>Preparing</w:t>
            </w:r>
            <w:r>
              <w:rPr>
                <w:sz w:val="20"/>
              </w:rPr>
              <w:t xml:space="preserve"> raw food </w:t>
            </w:r>
            <w:r w:rsidRPr="007D45F3">
              <w:rPr>
                <w:b/>
                <w:sz w:val="20"/>
              </w:rPr>
              <w:t xml:space="preserve">/ </w:t>
            </w:r>
            <w:r w:rsidRPr="00A9720B">
              <w:rPr>
                <w:sz w:val="20"/>
              </w:rPr>
              <w:t>serving food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Control and restraint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Other</w:t>
            </w:r>
          </w:p>
          <w:p w:rsidR="00D3221F" w:rsidRDefault="00D3221F" w:rsidP="00D3221F">
            <w:pPr>
              <w:rPr>
                <w:sz w:val="20"/>
              </w:rPr>
            </w:pPr>
          </w:p>
          <w:p w:rsidR="00D3221F" w:rsidRPr="00A9720B" w:rsidRDefault="00D3221F" w:rsidP="00D3221F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:rsidR="00D3221F" w:rsidRDefault="00D3221F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751DA8" w:rsidRDefault="00751DA8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sectPr w:rsidR="00751DA8" w:rsidSect="006575F6">
      <w:headerReference w:type="default" r:id="rId7"/>
      <w:footerReference w:type="default" r:id="rId8"/>
      <w:pgSz w:w="11906" w:h="16838" w:code="9"/>
      <w:pgMar w:top="1259" w:right="1469" w:bottom="1440" w:left="1440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F4" w:rsidRDefault="00DF2AF4">
      <w:r>
        <w:separator/>
      </w:r>
    </w:p>
  </w:endnote>
  <w:endnote w:type="continuationSeparator" w:id="0">
    <w:p w:rsidR="00DF2AF4" w:rsidRDefault="00DF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CF" w:rsidRDefault="00D16DCF" w:rsidP="006575F6">
    <w:pPr>
      <w:pStyle w:val="Footer"/>
    </w:pPr>
    <w:r w:rsidRPr="002F32C6">
      <w:rPr>
        <w:sz w:val="16"/>
        <w:szCs w:val="16"/>
      </w:rPr>
      <w:t xml:space="preserve">Date JD Last </w:t>
    </w:r>
    <w:r>
      <w:rPr>
        <w:sz w:val="16"/>
        <w:szCs w:val="16"/>
      </w:rPr>
      <w:t>Updated 05.01.11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F4" w:rsidRDefault="00DF2AF4">
      <w:r>
        <w:separator/>
      </w:r>
    </w:p>
  </w:footnote>
  <w:footnote w:type="continuationSeparator" w:id="0">
    <w:p w:rsidR="00DF2AF4" w:rsidRDefault="00DF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45"/>
      <w:gridCol w:w="6752"/>
    </w:tblGrid>
    <w:tr w:rsidR="00D16DCF">
      <w:tc>
        <w:tcPr>
          <w:tcW w:w="2308" w:type="dxa"/>
          <w:vAlign w:val="bottom"/>
        </w:tcPr>
        <w:p w:rsidR="00D16DCF" w:rsidRPr="00B675B1" w:rsidRDefault="00D16DCF" w:rsidP="005B78BF">
          <w:pPr>
            <w:ind w:left="-180" w:right="-205"/>
            <w:jc w:val="cent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-1136015</wp:posOffset>
                </wp:positionV>
                <wp:extent cx="1438275" cy="552450"/>
                <wp:effectExtent l="19050" t="0" r="9525" b="0"/>
                <wp:wrapNone/>
                <wp:docPr id="9" name="Picture 9" descr="S:\ST\ST\Comm\CXPRLXG\office\documents\Brand Refresh\New Logos\Haringey Logos 2\Haringey Logo\Screen\JPG\BS1995_Haringey_TapeType_RE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:\ST\ST\Comm\CXPRLXG\office\documents\Brand Refresh\New Logos\Haringey Logos 2\Haringey Logo\Screen\JPG\BS1995_Haringey_TapeType_RE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5" w:type="dxa"/>
        </w:tcPr>
        <w:p w:rsidR="00D16DCF" w:rsidRDefault="00D16DCF" w:rsidP="006C58A7">
          <w:pPr>
            <w:ind w:right="-205"/>
            <w:rPr>
              <w:rFonts w:cs="Arial"/>
            </w:rPr>
          </w:pPr>
        </w:p>
        <w:p w:rsidR="00D16DCF" w:rsidRDefault="00D16DCF" w:rsidP="006C58A7">
          <w:pPr>
            <w:ind w:right="-205"/>
            <w:rPr>
              <w:rFonts w:cs="Arial"/>
            </w:rPr>
          </w:pPr>
        </w:p>
        <w:p w:rsidR="00D16DCF" w:rsidRPr="00C438F7" w:rsidRDefault="00D16DCF" w:rsidP="008B6519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xx </w:t>
          </w:r>
          <w:r w:rsidRPr="00C438F7">
            <w:rPr>
              <w:rFonts w:cs="Arial"/>
              <w:b/>
              <w:sz w:val="28"/>
              <w:szCs w:val="28"/>
            </w:rPr>
            <w:t>Business Unit/Section</w:t>
          </w:r>
          <w:r>
            <w:rPr>
              <w:rFonts w:cs="Arial"/>
              <w:b/>
              <w:sz w:val="28"/>
              <w:szCs w:val="28"/>
            </w:rPr>
            <w:t xml:space="preserve"> x</w:t>
          </w:r>
          <w:r w:rsidRPr="00C438F7">
            <w:rPr>
              <w:rFonts w:cs="Arial"/>
              <w:b/>
              <w:sz w:val="28"/>
              <w:szCs w:val="28"/>
            </w:rPr>
            <w:t>x to which the JD relates to:</w:t>
          </w:r>
        </w:p>
        <w:p w:rsidR="00D16DCF" w:rsidRDefault="00D16DCF" w:rsidP="008B6519">
          <w:pPr>
            <w:rPr>
              <w:rFonts w:cs="Arial"/>
            </w:rPr>
          </w:pPr>
        </w:p>
        <w:p w:rsidR="00D16DCF" w:rsidRDefault="00D16DCF" w:rsidP="006C58A7">
          <w:pPr>
            <w:ind w:right="-205"/>
            <w:rPr>
              <w:rFonts w:cs="Arial"/>
            </w:rPr>
          </w:pPr>
        </w:p>
      </w:tc>
    </w:tr>
  </w:tbl>
  <w:p w:rsidR="00D16DCF" w:rsidRDefault="00D16DCF" w:rsidP="006C58A7">
    <w:pPr>
      <w:ind w:left="-180" w:right="-205"/>
      <w:rPr>
        <w:rFonts w:cs="Arial"/>
      </w:rPr>
    </w:pPr>
  </w:p>
  <w:p w:rsidR="00D16DCF" w:rsidRPr="00B675B1" w:rsidRDefault="00D16DCF" w:rsidP="006C58A7">
    <w:pPr>
      <w:ind w:left="-180" w:right="-205"/>
      <w:rPr>
        <w:rFonts w:cs="Arial"/>
      </w:rPr>
    </w:pPr>
  </w:p>
  <w:p w:rsidR="00D16DCF" w:rsidRDefault="00D16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82BEB"/>
    <w:multiLevelType w:val="hybridMultilevel"/>
    <w:tmpl w:val="198A0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C25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"/>
  </w:num>
  <w:num w:numId="5">
    <w:abstractNumId w:val="20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3"/>
  </w:num>
  <w:num w:numId="15">
    <w:abstractNumId w:val="15"/>
  </w:num>
  <w:num w:numId="16">
    <w:abstractNumId w:val="6"/>
  </w:num>
  <w:num w:numId="17">
    <w:abstractNumId w:val="8"/>
  </w:num>
  <w:num w:numId="18">
    <w:abstractNumId w:val="10"/>
  </w:num>
  <w:num w:numId="19">
    <w:abstractNumId w:val="3"/>
  </w:num>
  <w:num w:numId="20">
    <w:abstractNumId w:val="3"/>
  </w:num>
  <w:num w:numId="21">
    <w:abstractNumId w:val="3"/>
  </w:num>
  <w:num w:numId="22">
    <w:abstractNumId w:val="18"/>
  </w:num>
  <w:num w:numId="23">
    <w:abstractNumId w:val="9"/>
  </w:num>
  <w:num w:numId="24">
    <w:abstractNumId w:val="3"/>
  </w:num>
  <w:num w:numId="25">
    <w:abstractNumId w:val="7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A7"/>
    <w:rsid w:val="00005B50"/>
    <w:rsid w:val="00043285"/>
    <w:rsid w:val="000447F2"/>
    <w:rsid w:val="00076ED4"/>
    <w:rsid w:val="000A24F9"/>
    <w:rsid w:val="000E58E7"/>
    <w:rsid w:val="00107355"/>
    <w:rsid w:val="00133796"/>
    <w:rsid w:val="001345C5"/>
    <w:rsid w:val="001B189A"/>
    <w:rsid w:val="001D4DF0"/>
    <w:rsid w:val="001F09BC"/>
    <w:rsid w:val="001F2AAC"/>
    <w:rsid w:val="001F691E"/>
    <w:rsid w:val="00222332"/>
    <w:rsid w:val="00231224"/>
    <w:rsid w:val="00250BA4"/>
    <w:rsid w:val="0026742F"/>
    <w:rsid w:val="00272572"/>
    <w:rsid w:val="002946E1"/>
    <w:rsid w:val="002B064F"/>
    <w:rsid w:val="002B37FB"/>
    <w:rsid w:val="002B4C05"/>
    <w:rsid w:val="002F2ED9"/>
    <w:rsid w:val="002F32C6"/>
    <w:rsid w:val="0031256C"/>
    <w:rsid w:val="00314AF9"/>
    <w:rsid w:val="00327CA1"/>
    <w:rsid w:val="00361285"/>
    <w:rsid w:val="00365869"/>
    <w:rsid w:val="003B6459"/>
    <w:rsid w:val="003D7CAB"/>
    <w:rsid w:val="003F799C"/>
    <w:rsid w:val="00444B23"/>
    <w:rsid w:val="004467A2"/>
    <w:rsid w:val="0047152D"/>
    <w:rsid w:val="0048717C"/>
    <w:rsid w:val="004B538C"/>
    <w:rsid w:val="004E4C74"/>
    <w:rsid w:val="0051332D"/>
    <w:rsid w:val="0051543F"/>
    <w:rsid w:val="00523D03"/>
    <w:rsid w:val="00566565"/>
    <w:rsid w:val="00596BC2"/>
    <w:rsid w:val="005A325E"/>
    <w:rsid w:val="005B748A"/>
    <w:rsid w:val="005B78BF"/>
    <w:rsid w:val="005C4B8A"/>
    <w:rsid w:val="005F58EB"/>
    <w:rsid w:val="006169CA"/>
    <w:rsid w:val="0061750B"/>
    <w:rsid w:val="00622080"/>
    <w:rsid w:val="00624B0F"/>
    <w:rsid w:val="00651370"/>
    <w:rsid w:val="006575F6"/>
    <w:rsid w:val="0066269A"/>
    <w:rsid w:val="0067603D"/>
    <w:rsid w:val="006B51E7"/>
    <w:rsid w:val="006C58A7"/>
    <w:rsid w:val="007122A4"/>
    <w:rsid w:val="00716460"/>
    <w:rsid w:val="0073449F"/>
    <w:rsid w:val="00741A14"/>
    <w:rsid w:val="00745726"/>
    <w:rsid w:val="00751DA8"/>
    <w:rsid w:val="00776056"/>
    <w:rsid w:val="00780DBE"/>
    <w:rsid w:val="007831F6"/>
    <w:rsid w:val="007B338A"/>
    <w:rsid w:val="007C5391"/>
    <w:rsid w:val="007D7703"/>
    <w:rsid w:val="008108C2"/>
    <w:rsid w:val="00894CE1"/>
    <w:rsid w:val="008B6519"/>
    <w:rsid w:val="008B7668"/>
    <w:rsid w:val="008E128A"/>
    <w:rsid w:val="008E65AA"/>
    <w:rsid w:val="00903819"/>
    <w:rsid w:val="009105B4"/>
    <w:rsid w:val="0092486C"/>
    <w:rsid w:val="009617EF"/>
    <w:rsid w:val="00986DDB"/>
    <w:rsid w:val="009C4BB2"/>
    <w:rsid w:val="009F6C7F"/>
    <w:rsid w:val="00A07B0A"/>
    <w:rsid w:val="00A15D0F"/>
    <w:rsid w:val="00A23B30"/>
    <w:rsid w:val="00A54B32"/>
    <w:rsid w:val="00AD18AB"/>
    <w:rsid w:val="00AF1A09"/>
    <w:rsid w:val="00B32A91"/>
    <w:rsid w:val="00B44A46"/>
    <w:rsid w:val="00B53B5F"/>
    <w:rsid w:val="00B97B51"/>
    <w:rsid w:val="00BC2B75"/>
    <w:rsid w:val="00BF2175"/>
    <w:rsid w:val="00C03833"/>
    <w:rsid w:val="00C15AA7"/>
    <w:rsid w:val="00C17D46"/>
    <w:rsid w:val="00C2315B"/>
    <w:rsid w:val="00C438F7"/>
    <w:rsid w:val="00C729E2"/>
    <w:rsid w:val="00CA3AA6"/>
    <w:rsid w:val="00D05919"/>
    <w:rsid w:val="00D16DCF"/>
    <w:rsid w:val="00D20282"/>
    <w:rsid w:val="00D30AA9"/>
    <w:rsid w:val="00D3221F"/>
    <w:rsid w:val="00D447B0"/>
    <w:rsid w:val="00D51E55"/>
    <w:rsid w:val="00D9184D"/>
    <w:rsid w:val="00DA3AFA"/>
    <w:rsid w:val="00DF2AF4"/>
    <w:rsid w:val="00E20DB1"/>
    <w:rsid w:val="00E376D3"/>
    <w:rsid w:val="00E71145"/>
    <w:rsid w:val="00E74A77"/>
    <w:rsid w:val="00E7531E"/>
    <w:rsid w:val="00EC5037"/>
    <w:rsid w:val="00ED3429"/>
    <w:rsid w:val="00F153CE"/>
    <w:rsid w:val="00F652E5"/>
    <w:rsid w:val="00F729DC"/>
    <w:rsid w:val="00F80506"/>
    <w:rsid w:val="00F80CD6"/>
    <w:rsid w:val="00F8472A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71A13"/>
  <w15:docId w15:val="{97A4D5EA-6A1D-4B5B-9587-C359DA20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Hartland Ashlea</cp:lastModifiedBy>
  <cp:revision>2</cp:revision>
  <cp:lastPrinted>2008-10-22T09:13:00Z</cp:lastPrinted>
  <dcterms:created xsi:type="dcterms:W3CDTF">2017-10-09T08:23:00Z</dcterms:created>
  <dcterms:modified xsi:type="dcterms:W3CDTF">2017-10-09T08:23:00Z</dcterms:modified>
</cp:coreProperties>
</file>