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8A2707" w:rsidP="00061C26">
            <w:pPr>
              <w:rPr>
                <w:rFonts w:ascii="HelveticaNeueLT Std" w:hAnsi="HelveticaNeueLT Std"/>
                <w:sz w:val="22"/>
                <w:szCs w:val="22"/>
              </w:rPr>
            </w:pPr>
            <w:r>
              <w:rPr>
                <w:rFonts w:ascii="HelveticaNeueLT Std" w:hAnsi="HelveticaNeueLT Std"/>
                <w:sz w:val="22"/>
                <w:szCs w:val="22"/>
              </w:rPr>
              <w:t>Appeals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121A9E" w:rsidP="00121A9E">
            <w:pPr>
              <w:rPr>
                <w:rFonts w:ascii="HelveticaNeueLT Std" w:hAnsi="HelveticaNeueLT Std"/>
                <w:color w:val="000000" w:themeColor="text1"/>
                <w:sz w:val="22"/>
                <w:szCs w:val="22"/>
              </w:rPr>
            </w:pPr>
            <w:r>
              <w:rPr>
                <w:rFonts w:ascii="HelveticaNeueLT Std" w:hAnsi="HelveticaNeueLT Std"/>
                <w:color w:val="000000" w:themeColor="text1"/>
                <w:sz w:val="22"/>
                <w:szCs w:val="22"/>
              </w:rPr>
              <w:t>Parking</w:t>
            </w:r>
            <w:r w:rsidR="008A2707">
              <w:rPr>
                <w:rFonts w:ascii="HelveticaNeueLT Std" w:hAnsi="HelveticaNeueLT Std"/>
                <w:color w:val="000000" w:themeColor="text1"/>
                <w:sz w:val="22"/>
                <w:szCs w:val="22"/>
              </w:rPr>
              <w:t xml:space="preserve"> Operations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8A2707" w:rsidP="00AF528D">
            <w:pPr>
              <w:rPr>
                <w:rFonts w:ascii="HelveticaNeueLT Std" w:hAnsi="HelveticaNeueLT Std"/>
                <w:sz w:val="22"/>
                <w:szCs w:val="22"/>
              </w:rPr>
            </w:pPr>
            <w:r>
              <w:rPr>
                <w:rFonts w:ascii="HelveticaNeueLT Std" w:hAnsi="HelveticaNeueLT Std"/>
                <w:sz w:val="22"/>
                <w:szCs w:val="22"/>
              </w:rPr>
              <w:t>Notice Processing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8A2707" w:rsidP="00AF528D">
            <w:pPr>
              <w:rPr>
                <w:rFonts w:ascii="HelveticaNeueLT Std" w:hAnsi="HelveticaNeueLT Std"/>
                <w:sz w:val="22"/>
                <w:szCs w:val="22"/>
              </w:rPr>
            </w:pPr>
            <w:r>
              <w:rPr>
                <w:rFonts w:ascii="HelveticaNeueLT Std" w:hAnsi="HelveticaNeueLT Std"/>
                <w:sz w:val="22"/>
                <w:szCs w:val="22"/>
              </w:rPr>
              <w:t>SO1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F528D" w:rsidRPr="00B526B1" w:rsidRDefault="00121A9E" w:rsidP="00121A9E">
            <w:pPr>
              <w:spacing w:before="120" w:after="120"/>
              <w:rPr>
                <w:rFonts w:ascii="HelveticaNeueLT Std" w:hAnsi="HelveticaNeueLT Std"/>
              </w:rPr>
            </w:pPr>
            <w:r w:rsidRPr="00B526B1">
              <w:rPr>
                <w:rFonts w:ascii="HelveticaNeueLT Std" w:hAnsi="HelveticaNeueLT Std"/>
              </w:rPr>
              <w:t xml:space="preserve">To prepare comprehensive case summaries and submit </w:t>
            </w:r>
            <w:r w:rsidRPr="00B526B1">
              <w:rPr>
                <w:rFonts w:ascii="HelveticaNeueLT Std" w:hAnsi="HelveticaNeueLT Std"/>
              </w:rPr>
              <w:t>in a timely manner</w:t>
            </w:r>
            <w:r w:rsidRPr="00B526B1">
              <w:rPr>
                <w:rFonts w:ascii="HelveticaNeueLT Std" w:hAnsi="HelveticaNeueLT Std"/>
              </w:rPr>
              <w:t xml:space="preserve"> to London Tribunals in advance of Appeals hearing dates.</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B526B1" w:rsidRPr="00B526B1" w:rsidRDefault="00B526B1" w:rsidP="00B526B1">
            <w:pPr>
              <w:pStyle w:val="ListParagraph"/>
              <w:numPr>
                <w:ilvl w:val="0"/>
                <w:numId w:val="4"/>
              </w:numPr>
              <w:spacing w:after="160" w:line="259" w:lineRule="auto"/>
              <w:jc w:val="both"/>
              <w:rPr>
                <w:rFonts w:ascii="HelveticaNeueLT Std" w:hAnsi="HelveticaNeueLT Std"/>
              </w:rPr>
            </w:pPr>
            <w:r w:rsidRPr="00B526B1">
              <w:rPr>
                <w:rFonts w:ascii="HelveticaNeueLT Std" w:hAnsi="HelveticaNeueLT Std"/>
              </w:rPr>
              <w:t>To be responsible for the allocation and timely processing of London Tribunals correspondence service, ensuring compliance with the legislative and policy framework.</w:t>
            </w:r>
          </w:p>
          <w:p w:rsidR="00B526B1" w:rsidRPr="00B526B1" w:rsidRDefault="00B526B1" w:rsidP="00B526B1">
            <w:pPr>
              <w:spacing w:after="160" w:line="259" w:lineRule="auto"/>
              <w:jc w:val="both"/>
              <w:rPr>
                <w:rFonts w:ascii="HelveticaNeueLT Std" w:hAnsi="HelveticaNeueLT Std"/>
              </w:rPr>
            </w:pPr>
          </w:p>
          <w:p w:rsidR="00B526B1" w:rsidRPr="00B526B1" w:rsidRDefault="00B526B1" w:rsidP="00B526B1">
            <w:pPr>
              <w:pStyle w:val="ListParagraph"/>
              <w:numPr>
                <w:ilvl w:val="0"/>
                <w:numId w:val="4"/>
              </w:numPr>
              <w:spacing w:after="160" w:line="259" w:lineRule="auto"/>
              <w:jc w:val="both"/>
              <w:rPr>
                <w:rFonts w:ascii="HelveticaNeueLT Std" w:hAnsi="HelveticaNeueLT Std"/>
              </w:rPr>
            </w:pPr>
            <w:r w:rsidRPr="00B526B1">
              <w:rPr>
                <w:rFonts w:ascii="HelveticaNeueLT Std" w:hAnsi="HelveticaNeueLT Std"/>
              </w:rPr>
              <w:t>To provide operational and technical guidance and support to Correspondence Officers, in relation to handling representations where needed.</w:t>
            </w:r>
          </w:p>
          <w:p w:rsidR="00B526B1" w:rsidRPr="00B526B1" w:rsidRDefault="00B526B1" w:rsidP="00B526B1">
            <w:pPr>
              <w:spacing w:after="160" w:line="259" w:lineRule="auto"/>
              <w:jc w:val="both"/>
              <w:rPr>
                <w:rFonts w:ascii="HelveticaNeueLT Std" w:hAnsi="HelveticaNeueLT Std"/>
              </w:rPr>
            </w:pPr>
          </w:p>
          <w:p w:rsidR="00E57DA5" w:rsidRPr="00B526B1" w:rsidRDefault="00B526B1" w:rsidP="00B526B1">
            <w:pPr>
              <w:pStyle w:val="ListParagraph"/>
              <w:numPr>
                <w:ilvl w:val="0"/>
                <w:numId w:val="4"/>
              </w:numPr>
              <w:spacing w:before="120" w:after="120" w:line="480" w:lineRule="auto"/>
              <w:jc w:val="both"/>
              <w:rPr>
                <w:rFonts w:ascii="HelveticaNeueLT Std" w:hAnsi="HelveticaNeueLT Std"/>
              </w:rPr>
            </w:pPr>
            <w:r w:rsidRPr="00B526B1">
              <w:rPr>
                <w:rFonts w:ascii="HelveticaNeueLT Std" w:hAnsi="HelveticaNeueLT Std"/>
              </w:rPr>
              <w:t>To ensure that the outcomes of London Tribunals appeals are effectively communicated to relevant officers to ensure that any necessary changes in operational requirements are fully reflected in policies and procedures across the Traffic Management Service.</w:t>
            </w:r>
          </w:p>
          <w:p w:rsidR="00B526B1" w:rsidRDefault="00B526B1" w:rsidP="00B526B1">
            <w:pPr>
              <w:pStyle w:val="ListParagraph"/>
              <w:numPr>
                <w:ilvl w:val="0"/>
                <w:numId w:val="4"/>
              </w:numPr>
              <w:spacing w:after="160" w:line="259" w:lineRule="auto"/>
              <w:rPr>
                <w:rFonts w:ascii="HelveticaNeueLT Std" w:hAnsi="HelveticaNeueLT Std"/>
              </w:rPr>
            </w:pPr>
            <w:r w:rsidRPr="00B526B1">
              <w:rPr>
                <w:rFonts w:ascii="HelveticaNeueLT Std" w:hAnsi="HelveticaNeueLT Std"/>
              </w:rPr>
              <w:t>To represent the Council on a regular basis at Adjudication hearings, setting out the Councils legal position in relation to appeals.</w:t>
            </w:r>
          </w:p>
          <w:p w:rsidR="00B526B1" w:rsidRPr="00B526B1" w:rsidRDefault="00B526B1" w:rsidP="00B526B1">
            <w:pPr>
              <w:spacing w:after="160" w:line="259" w:lineRule="auto"/>
              <w:rPr>
                <w:rFonts w:ascii="HelveticaNeueLT Std" w:hAnsi="HelveticaNeueLT Std"/>
              </w:rPr>
            </w:pPr>
          </w:p>
          <w:p w:rsidR="00B526B1" w:rsidRDefault="00B526B1" w:rsidP="00B526B1">
            <w:pPr>
              <w:pStyle w:val="ListParagraph"/>
              <w:numPr>
                <w:ilvl w:val="0"/>
                <w:numId w:val="4"/>
              </w:numPr>
              <w:spacing w:after="160" w:line="259" w:lineRule="auto"/>
              <w:rPr>
                <w:rFonts w:ascii="HelveticaNeueLT Std" w:hAnsi="HelveticaNeueLT Std"/>
              </w:rPr>
            </w:pPr>
            <w:r w:rsidRPr="00B526B1">
              <w:rPr>
                <w:rFonts w:ascii="HelveticaNeueLT Std" w:hAnsi="HelveticaNeueLT Std"/>
              </w:rPr>
              <w:t>To develop training materials and guidance notes for staff employed in the service and to deliver training as and when required and keeping abreast of changes in legislation.</w:t>
            </w:r>
          </w:p>
          <w:p w:rsidR="00B526B1" w:rsidRPr="00B526B1" w:rsidRDefault="00B526B1" w:rsidP="00B526B1">
            <w:pPr>
              <w:pStyle w:val="ListParagraph"/>
              <w:rPr>
                <w:rFonts w:ascii="HelveticaNeueLT Std" w:hAnsi="HelveticaNeueLT Std"/>
              </w:rPr>
            </w:pPr>
          </w:p>
          <w:p w:rsidR="00865E2D" w:rsidRDefault="00B526B1" w:rsidP="000B6AEC">
            <w:pPr>
              <w:pStyle w:val="ListParagraph"/>
              <w:numPr>
                <w:ilvl w:val="0"/>
                <w:numId w:val="4"/>
              </w:numPr>
              <w:spacing w:after="160" w:line="259" w:lineRule="auto"/>
              <w:rPr>
                <w:rFonts w:ascii="HelveticaNeueLT Std" w:hAnsi="HelveticaNeueLT Std"/>
              </w:rPr>
            </w:pPr>
            <w:r w:rsidRPr="00865E2D">
              <w:rPr>
                <w:rFonts w:ascii="HelveticaNeueLT Std" w:hAnsi="HelveticaNeueLT Std"/>
              </w:rPr>
              <w:t>To use quality monitoring procedures to assist the Notice Processing Manager to    drive tangible improvements in the quality of informal and formal appeal investigations and responses by the Correspondence team, thereby reducing avoidable contact and improving customer service.</w:t>
            </w:r>
          </w:p>
          <w:p w:rsidR="00522F05" w:rsidRPr="00522F05" w:rsidRDefault="00522F05" w:rsidP="00522F05">
            <w:pPr>
              <w:pStyle w:val="ListParagraph"/>
              <w:rPr>
                <w:rFonts w:ascii="HelveticaNeueLT Std" w:hAnsi="HelveticaNeueLT Std"/>
              </w:rPr>
            </w:pPr>
          </w:p>
          <w:p w:rsidR="00522F05" w:rsidRPr="00522F05" w:rsidRDefault="00522F05" w:rsidP="00522F05">
            <w:pPr>
              <w:spacing w:after="160" w:line="259" w:lineRule="auto"/>
              <w:rPr>
                <w:rFonts w:ascii="HelveticaNeueLT Std" w:hAnsi="HelveticaNeueLT Std"/>
              </w:rPr>
            </w:pPr>
          </w:p>
          <w:p w:rsidR="002B4102" w:rsidRPr="00522F05" w:rsidRDefault="002B4102" w:rsidP="00522F05">
            <w:pPr>
              <w:spacing w:after="120" w:line="480" w:lineRule="auto"/>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lastRenderedPageBreak/>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522F05" w:rsidRDefault="00522F05" w:rsidP="00522F05">
            <w:pPr>
              <w:pStyle w:val="ListParagraph"/>
              <w:numPr>
                <w:ilvl w:val="0"/>
                <w:numId w:val="16"/>
              </w:numPr>
              <w:spacing w:after="160" w:line="360" w:lineRule="auto"/>
              <w:jc w:val="both"/>
            </w:pPr>
            <w:r>
              <w:t>Ability to write basic reports and present information in a clear logical and systematic manner.</w:t>
            </w:r>
          </w:p>
          <w:p w:rsidR="00522F05" w:rsidRDefault="00522F05" w:rsidP="00522F05">
            <w:pPr>
              <w:pStyle w:val="ListParagraph"/>
              <w:numPr>
                <w:ilvl w:val="0"/>
                <w:numId w:val="16"/>
              </w:numPr>
              <w:spacing w:after="160" w:line="360" w:lineRule="auto"/>
              <w:jc w:val="both"/>
            </w:pPr>
            <w:r>
              <w:t>Good experience of operating in a judicial or quasi-judicial environment</w:t>
            </w:r>
          </w:p>
          <w:p w:rsidR="00522F05" w:rsidRDefault="00522F05" w:rsidP="00522F05">
            <w:pPr>
              <w:pStyle w:val="ListParagraph"/>
              <w:numPr>
                <w:ilvl w:val="0"/>
                <w:numId w:val="16"/>
              </w:numPr>
              <w:spacing w:after="160" w:line="360" w:lineRule="auto"/>
              <w:jc w:val="both"/>
            </w:pPr>
            <w:r>
              <w:t>Experience of using quality monitoring procedures to support performance   management of others.</w:t>
            </w:r>
          </w:p>
          <w:p w:rsidR="00522F05" w:rsidRDefault="00522F05" w:rsidP="00522F05">
            <w:pPr>
              <w:pStyle w:val="ListParagraph"/>
              <w:numPr>
                <w:ilvl w:val="0"/>
                <w:numId w:val="16"/>
              </w:numPr>
              <w:spacing w:after="160" w:line="360" w:lineRule="auto"/>
              <w:jc w:val="both"/>
            </w:pPr>
            <w:r>
              <w:t>Experience of being able to give clear, accurate and timely direct feedback to other team members.</w:t>
            </w:r>
          </w:p>
          <w:p w:rsidR="00522F05" w:rsidRDefault="00522F05" w:rsidP="00522F05">
            <w:pPr>
              <w:spacing w:after="160" w:line="360" w:lineRule="auto"/>
              <w:ind w:left="360"/>
              <w:jc w:val="both"/>
            </w:pPr>
            <w:r w:rsidRPr="00420099">
              <w:t>Excellent working knowledge of parking legislation, statutory</w:t>
            </w:r>
            <w:r>
              <w:t xml:space="preserve"> and operational guidance on par</w:t>
            </w:r>
            <w:r w:rsidRPr="00420099">
              <w:t xml:space="preserve">t 6 of the TMA and codes of practice relating to parking and traffic enforcement </w:t>
            </w:r>
          </w:p>
          <w:p w:rsidR="00522F05" w:rsidRDefault="00522F05" w:rsidP="00522F05">
            <w:pPr>
              <w:spacing w:after="160" w:line="360" w:lineRule="auto"/>
              <w:ind w:left="360"/>
              <w:jc w:val="both"/>
            </w:pPr>
            <w:r w:rsidRPr="00420099">
              <w:t xml:space="preserve">Knowledge of performance management systems, and their application to improve performance. </w:t>
            </w:r>
          </w:p>
          <w:p w:rsidR="00522F05" w:rsidRDefault="00522F05" w:rsidP="00522F05">
            <w:pPr>
              <w:spacing w:after="160" w:line="360" w:lineRule="auto"/>
              <w:ind w:left="360"/>
              <w:jc w:val="both"/>
            </w:pPr>
            <w:r w:rsidRPr="00420099">
              <w:t>Strong presentation skills to deliver clear and concise technical information at London Tribunals hearings</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522F05" w:rsidRPr="00ED280B" w:rsidRDefault="00522F05" w:rsidP="006A1ED1">
            <w:pPr>
              <w:spacing w:before="120"/>
              <w:rPr>
                <w:rFonts w:ascii="HelveticaNeueLT Std" w:hAnsi="HelveticaNeueLT Std"/>
                <w:color w:val="000000" w:themeColor="text1"/>
                <w:sz w:val="22"/>
                <w:szCs w:val="22"/>
                <w:u w:val="single"/>
              </w:rPr>
            </w:pPr>
            <w:r>
              <w:rPr>
                <w:rFonts w:ascii="HelveticaNeueLT Std" w:hAnsi="HelveticaNeueLT Std"/>
                <w:color w:val="000000" w:themeColor="text1"/>
                <w:sz w:val="22"/>
                <w:szCs w:val="22"/>
                <w:u w:val="single"/>
              </w:rPr>
              <w:t>Paul Besagni</w:t>
            </w:r>
          </w:p>
          <w:p w:rsidR="00140E79" w:rsidRPr="00ED280B" w:rsidRDefault="00140E79">
            <w:pPr>
              <w:rPr>
                <w:rFonts w:ascii="HelveticaNeueLT Std" w:hAnsi="HelveticaNeueLT Std"/>
                <w:color w:val="000000" w:themeColor="text1"/>
                <w:sz w:val="22"/>
                <w:szCs w:val="22"/>
              </w:rPr>
            </w:pPr>
          </w:p>
          <w:p w:rsidR="00140E79" w:rsidRPr="00ED280B" w:rsidRDefault="00140E79">
            <w:pPr>
              <w:rPr>
                <w:rFonts w:ascii="HelveticaNeueLT Std" w:hAnsi="HelveticaNeueLT Std"/>
                <w:color w:val="000000" w:themeColor="text1"/>
                <w:sz w:val="22"/>
                <w:szCs w:val="22"/>
              </w:rPr>
            </w:pPr>
          </w:p>
          <w:p w:rsidR="00140E79" w:rsidRPr="00ED280B" w:rsidRDefault="00140E79" w:rsidP="00B63A30">
            <w:pPr>
              <w:pStyle w:val="Style1"/>
              <w:numPr>
                <w:ilvl w:val="0"/>
                <w:numId w:val="0"/>
              </w:numPr>
              <w:spacing w:before="120" w:after="120"/>
              <w:rPr>
                <w:rFonts w:ascii="HelveticaNeueLT Std" w:hAnsi="HelveticaNeueLT Std" w:cs="Arial"/>
                <w:sz w:val="22"/>
                <w:szCs w:val="22"/>
              </w:rPr>
            </w:pPr>
            <w:bookmarkStart w:id="0" w:name="_GoBack"/>
            <w:bookmarkEnd w:id="0"/>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8A2707">
            <w:pPr>
              <w:jc w:val="center"/>
              <w:rPr>
                <w:rFonts w:ascii="HelveticaNeueLT Std" w:hAnsi="HelveticaNeueLT Std"/>
                <w:sz w:val="22"/>
                <w:szCs w:val="22"/>
              </w:rPr>
            </w:pPr>
            <w:r w:rsidRPr="00ED280B">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8A2707"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8A2707" w:rsidP="00E57D5A">
            <w:pPr>
              <w:rPr>
                <w:rFonts w:ascii="HelveticaNeueLT Std" w:hAnsi="HelveticaNeueLT Std"/>
                <w:sz w:val="22"/>
                <w:szCs w:val="22"/>
              </w:rPr>
            </w:pPr>
            <w:r>
              <w:rPr>
                <w:rFonts w:ascii="HelveticaNeueLT Std" w:hAnsi="HelveticaNeueLT Std"/>
                <w:sz w:val="22"/>
                <w:szCs w:val="22"/>
              </w:rPr>
              <w:t>YES</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8A2707"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8A2707"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8A2707" w:rsidP="00E57D5A">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8A2707" w:rsidP="00E57D5A">
            <w:pPr>
              <w:rPr>
                <w:rFonts w:ascii="HelveticaNeueLT Std" w:hAnsi="HelveticaNeueLT Std"/>
                <w:sz w:val="22"/>
                <w:szCs w:val="22"/>
              </w:rPr>
            </w:pPr>
            <w:r>
              <w:rPr>
                <w:rFonts w:ascii="HelveticaNeueLT Std" w:hAnsi="HelveticaNeueLT Std"/>
                <w:sz w:val="22"/>
                <w:szCs w:val="22"/>
              </w:rPr>
              <w:t>NO</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p w:rsidR="00324FDD"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8A2707" w:rsidP="00121EF9">
            <w:pPr>
              <w:jc w:val="center"/>
              <w:rPr>
                <w:rFonts w:ascii="HelveticaNeueLT Std" w:hAnsi="HelveticaNeueLT Std"/>
              </w:rPr>
            </w:pPr>
            <w:r>
              <w:rPr>
                <w:rFonts w:ascii="HelveticaNeueLT Std" w:hAnsi="HelveticaNeueLT Std"/>
              </w:rPr>
              <w:t>NO</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8A2707"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121EF9" w:rsidRDefault="00E57D5A" w:rsidP="00061C26">
            <w:pPr>
              <w:rPr>
                <w:rFonts w:ascii="HelveticaNeueLT Std" w:hAnsi="HelveticaNeueLT Std"/>
                <w:sz w:val="21"/>
                <w:szCs w:val="21"/>
              </w:rPr>
            </w:pPr>
          </w:p>
          <w:p w:rsidR="00E57D5A" w:rsidRPr="00121EF9" w:rsidRDefault="008A2707" w:rsidP="00E57D5A">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8A2707"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8A2707" w:rsidP="00061C26">
            <w:pP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bottom w:val="single" w:sz="4"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8A2707" w:rsidP="00121EF9">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8A2707" w:rsidP="00121EF9">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474C6D" w:rsidP="00E57D5A">
            <w:pPr>
              <w:spacing w:before="120" w:after="120"/>
              <w:rPr>
                <w:color w:val="000000" w:themeColor="text1"/>
              </w:rPr>
            </w:pP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F57430" w:rsidRDefault="00474C6D" w:rsidP="00E57D5A">
            <w:pPr>
              <w:pStyle w:val="Heading2"/>
              <w:spacing w:before="120" w:after="120"/>
              <w:ind w:left="0" w:firstLine="0"/>
              <w:rPr>
                <w:color w:val="FF0000"/>
                <w:szCs w:val="24"/>
              </w:rPr>
            </w:pP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3" w:rsidRDefault="00C84F93">
      <w:r>
        <w:separator/>
      </w:r>
    </w:p>
  </w:endnote>
  <w:endnote w:type="continuationSeparator" w:id="0">
    <w:p w:rsidR="00C84F93" w:rsidRDefault="00C8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3" w:rsidRDefault="00C84F93">
      <w:r>
        <w:separator/>
      </w:r>
    </w:p>
  </w:footnote>
  <w:footnote w:type="continuationSeparator" w:id="0">
    <w:p w:rsidR="00C84F93" w:rsidRDefault="00C8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1012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8AF"/>
    <w:multiLevelType w:val="hybridMultilevel"/>
    <w:tmpl w:val="192C09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D7111A"/>
    <w:multiLevelType w:val="hybridMultilevel"/>
    <w:tmpl w:val="66961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82CCE"/>
    <w:multiLevelType w:val="hybridMultilevel"/>
    <w:tmpl w:val="4840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D35823"/>
    <w:multiLevelType w:val="hybridMultilevel"/>
    <w:tmpl w:val="E98AF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3"/>
  </w:num>
  <w:num w:numId="4">
    <w:abstractNumId w:val="3"/>
  </w:num>
  <w:num w:numId="5">
    <w:abstractNumId w:val="12"/>
  </w:num>
  <w:num w:numId="6">
    <w:abstractNumId w:val="9"/>
  </w:num>
  <w:num w:numId="7">
    <w:abstractNumId w:val="2"/>
  </w:num>
  <w:num w:numId="8">
    <w:abstractNumId w:val="10"/>
  </w:num>
  <w:num w:numId="9">
    <w:abstractNumId w:val="1"/>
  </w:num>
  <w:num w:numId="10">
    <w:abstractNumId w:val="4"/>
  </w:num>
  <w:num w:numId="11">
    <w:abstractNumId w:val="14"/>
  </w:num>
  <w:num w:numId="12">
    <w:abstractNumId w:val="4"/>
  </w:num>
  <w:num w:numId="13">
    <w:abstractNumId w:val="15"/>
  </w:num>
  <w:num w:numId="14">
    <w:abstractNumId w:val="5"/>
  </w:num>
  <w:num w:numId="15">
    <w:abstractNumId w:val="0"/>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A9E"/>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22F05"/>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10129"/>
    <w:rsid w:val="00865E2D"/>
    <w:rsid w:val="0089011D"/>
    <w:rsid w:val="008A2707"/>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1414"/>
    <w:rsid w:val="00B4139E"/>
    <w:rsid w:val="00B526B1"/>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4E9C8"/>
  <w15:docId w15:val="{D6BD31EE-F070-47D6-86D5-0D80FC9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12C12-F9C0-485D-AEFD-29944638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765C7FE0.dotm</Template>
  <TotalTime>1</TotalTime>
  <Pages>5</Pages>
  <Words>896</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Besagni Paul</cp:lastModifiedBy>
  <cp:revision>2</cp:revision>
  <cp:lastPrinted>2016-04-19T15:02:00Z</cp:lastPrinted>
  <dcterms:created xsi:type="dcterms:W3CDTF">2018-02-13T10:37:00Z</dcterms:created>
  <dcterms:modified xsi:type="dcterms:W3CDTF">2018-02-13T10:37:00Z</dcterms:modified>
</cp:coreProperties>
</file>